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007" w:tblpY="130"/>
        <w:tblOverlap w:val="never"/>
        <w:tblW w:w="15101" w:type="dxa"/>
        <w:tblInd w:w="0" w:type="dxa"/>
        <w:tblLayout w:type="fixed"/>
        <w:tblCellMar>
          <w:top w:w="0" w:type="dxa"/>
          <w:left w:w="108" w:type="dxa"/>
          <w:bottom w:w="0" w:type="dxa"/>
          <w:right w:w="108" w:type="dxa"/>
        </w:tblCellMar>
      </w:tblPr>
      <w:tblGrid>
        <w:gridCol w:w="1008"/>
        <w:gridCol w:w="2789"/>
        <w:gridCol w:w="2512"/>
        <w:gridCol w:w="2950"/>
        <w:gridCol w:w="2564"/>
        <w:gridCol w:w="2223"/>
        <w:gridCol w:w="1055"/>
      </w:tblGrid>
      <w:tr w14:paraId="108CC83B">
        <w:tblPrEx>
          <w:tblCellMar>
            <w:top w:w="0" w:type="dxa"/>
            <w:left w:w="108" w:type="dxa"/>
            <w:bottom w:w="0" w:type="dxa"/>
            <w:right w:w="108" w:type="dxa"/>
          </w:tblCellMar>
        </w:tblPrEx>
        <w:trPr>
          <w:trHeight w:val="1280" w:hRule="atLeast"/>
        </w:trPr>
        <w:tc>
          <w:tcPr>
            <w:tcW w:w="15101" w:type="dxa"/>
            <w:gridSpan w:val="7"/>
            <w:tcBorders>
              <w:top w:val="nil"/>
              <w:left w:val="nil"/>
              <w:bottom w:val="nil"/>
              <w:right w:val="nil"/>
            </w:tcBorders>
            <w:shd w:val="clear" w:color="auto" w:fill="auto"/>
            <w:noWrap/>
            <w:vAlign w:val="center"/>
          </w:tcPr>
          <w:p w14:paraId="7A817CEC">
            <w:pPr>
              <w:widowControl/>
              <w:jc w:val="center"/>
              <w:rPr>
                <w:rFonts w:ascii="方正小标宋简体" w:hAnsi="方正小标宋简体" w:eastAsia="方正小标宋简体" w:cs="宋体"/>
                <w:color w:val="000000"/>
                <w:kern w:val="0"/>
                <w:sz w:val="48"/>
                <w:szCs w:val="48"/>
              </w:rPr>
            </w:pPr>
            <w:r>
              <w:rPr>
                <w:rFonts w:hint="eastAsia" w:ascii="方正小标宋简体" w:hAnsi="方正小标宋简体" w:eastAsia="方正小标宋简体" w:cs="宋体"/>
                <w:color w:val="000000"/>
                <w:kern w:val="0"/>
                <w:sz w:val="48"/>
                <w:szCs w:val="48"/>
                <w:lang w:val="en-US" w:eastAsia="zh-CN"/>
              </w:rPr>
              <w:t>镇巴县市场监督管理局</w:t>
            </w:r>
            <w:r>
              <w:rPr>
                <w:rFonts w:hint="eastAsia" w:ascii="方正小标宋简体" w:hAnsi="方正小标宋简体" w:eastAsia="方正小标宋简体" w:cs="宋体"/>
                <w:color w:val="000000"/>
                <w:kern w:val="0"/>
                <w:sz w:val="48"/>
                <w:szCs w:val="48"/>
              </w:rPr>
              <w:t>涉企行政检查事项梳理表</w:t>
            </w:r>
          </w:p>
        </w:tc>
      </w:tr>
      <w:tr w14:paraId="74A168EF">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664DDD3C">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填报单位（盖章）：</w:t>
            </w:r>
          </w:p>
        </w:tc>
        <w:tc>
          <w:tcPr>
            <w:tcW w:w="2512" w:type="dxa"/>
            <w:tcBorders>
              <w:top w:val="nil"/>
              <w:left w:val="nil"/>
              <w:bottom w:val="nil"/>
              <w:right w:val="nil"/>
            </w:tcBorders>
            <w:shd w:val="clear" w:color="auto" w:fill="auto"/>
            <w:noWrap/>
            <w:vAlign w:val="center"/>
          </w:tcPr>
          <w:p w14:paraId="6F145C8C">
            <w:pPr>
              <w:widowControl/>
              <w:jc w:val="left"/>
              <w:rPr>
                <w:rFonts w:hint="default" w:ascii="仿宋_GB2312" w:hAnsi="宋体" w:eastAsia="仿宋_GB2312" w:cs="宋体"/>
                <w:color w:val="000000"/>
                <w:kern w:val="0"/>
                <w:sz w:val="32"/>
                <w:szCs w:val="32"/>
                <w:lang w:val="en-US" w:eastAsia="zh-CN"/>
              </w:rPr>
            </w:pPr>
          </w:p>
        </w:tc>
        <w:tc>
          <w:tcPr>
            <w:tcW w:w="2950" w:type="dxa"/>
            <w:tcBorders>
              <w:top w:val="nil"/>
              <w:left w:val="nil"/>
              <w:bottom w:val="nil"/>
              <w:right w:val="nil"/>
            </w:tcBorders>
            <w:shd w:val="clear" w:color="auto" w:fill="auto"/>
            <w:noWrap/>
            <w:vAlign w:val="center"/>
          </w:tcPr>
          <w:p w14:paraId="0508A7B1">
            <w:pPr>
              <w:widowControl/>
              <w:jc w:val="left"/>
              <w:rPr>
                <w:rFonts w:ascii="仿宋_GB2312" w:hAnsi="宋体" w:eastAsia="仿宋_GB2312" w:cs="宋体"/>
                <w:color w:val="000000"/>
                <w:kern w:val="0"/>
                <w:sz w:val="32"/>
                <w:szCs w:val="32"/>
              </w:rPr>
            </w:pPr>
          </w:p>
        </w:tc>
        <w:tc>
          <w:tcPr>
            <w:tcW w:w="2564" w:type="dxa"/>
            <w:tcBorders>
              <w:top w:val="nil"/>
              <w:left w:val="nil"/>
              <w:bottom w:val="nil"/>
              <w:right w:val="nil"/>
            </w:tcBorders>
            <w:shd w:val="clear" w:color="auto" w:fill="auto"/>
            <w:noWrap/>
            <w:vAlign w:val="center"/>
          </w:tcPr>
          <w:p w14:paraId="395F0EE6">
            <w:pPr>
              <w:widowControl/>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填报时间：</w:t>
            </w:r>
          </w:p>
        </w:tc>
        <w:tc>
          <w:tcPr>
            <w:tcW w:w="3278" w:type="dxa"/>
            <w:gridSpan w:val="2"/>
            <w:tcBorders>
              <w:top w:val="nil"/>
              <w:left w:val="nil"/>
              <w:bottom w:val="single" w:color="auto" w:sz="4" w:space="0"/>
              <w:right w:val="nil"/>
            </w:tcBorders>
            <w:shd w:val="clear" w:color="auto" w:fill="auto"/>
            <w:noWrap/>
            <w:vAlign w:val="center"/>
          </w:tcPr>
          <w:p w14:paraId="2632427C">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0C61F250">
        <w:tblPrEx>
          <w:tblCellMar>
            <w:top w:w="0" w:type="dxa"/>
            <w:left w:w="108" w:type="dxa"/>
            <w:bottom w:w="0" w:type="dxa"/>
            <w:right w:w="108" w:type="dxa"/>
          </w:tblCellMar>
        </w:tblPrEx>
        <w:trPr>
          <w:trHeight w:val="102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B585">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42A06B30">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检查事项</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77DE487">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检查依据</w:t>
            </w:r>
          </w:p>
        </w:tc>
        <w:tc>
          <w:tcPr>
            <w:tcW w:w="2950" w:type="dxa"/>
            <w:tcBorders>
              <w:top w:val="single" w:color="auto" w:sz="4" w:space="0"/>
              <w:left w:val="nil"/>
              <w:bottom w:val="single" w:color="auto" w:sz="4" w:space="0"/>
              <w:right w:val="single" w:color="auto" w:sz="4" w:space="0"/>
            </w:tcBorders>
            <w:shd w:val="clear" w:color="auto" w:fill="auto"/>
            <w:noWrap/>
            <w:vAlign w:val="center"/>
          </w:tcPr>
          <w:p w14:paraId="51995AE1">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检查标准</w:t>
            </w:r>
          </w:p>
        </w:tc>
        <w:tc>
          <w:tcPr>
            <w:tcW w:w="2564" w:type="dxa"/>
            <w:tcBorders>
              <w:top w:val="single" w:color="auto" w:sz="4" w:space="0"/>
              <w:left w:val="nil"/>
              <w:bottom w:val="single" w:color="auto" w:sz="4" w:space="0"/>
              <w:right w:val="single" w:color="auto" w:sz="4" w:space="0"/>
            </w:tcBorders>
            <w:shd w:val="clear" w:color="auto" w:fill="auto"/>
            <w:vAlign w:val="center"/>
          </w:tcPr>
          <w:p w14:paraId="58B681BD">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检查频次上限</w:t>
            </w:r>
          </w:p>
        </w:tc>
        <w:tc>
          <w:tcPr>
            <w:tcW w:w="2223" w:type="dxa"/>
            <w:tcBorders>
              <w:top w:val="nil"/>
              <w:left w:val="nil"/>
              <w:bottom w:val="single" w:color="auto" w:sz="4" w:space="0"/>
              <w:right w:val="single" w:color="auto" w:sz="4" w:space="0"/>
            </w:tcBorders>
            <w:shd w:val="clear" w:color="auto" w:fill="auto"/>
            <w:vAlign w:val="center"/>
          </w:tcPr>
          <w:p w14:paraId="14E55B11">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专项检查计划</w:t>
            </w:r>
          </w:p>
        </w:tc>
        <w:tc>
          <w:tcPr>
            <w:tcW w:w="1055" w:type="dxa"/>
            <w:tcBorders>
              <w:top w:val="nil"/>
              <w:left w:val="nil"/>
              <w:bottom w:val="single" w:color="auto" w:sz="4" w:space="0"/>
              <w:right w:val="single" w:color="auto" w:sz="4" w:space="0"/>
            </w:tcBorders>
            <w:shd w:val="clear" w:color="auto" w:fill="auto"/>
            <w:noWrap/>
            <w:vAlign w:val="center"/>
          </w:tcPr>
          <w:p w14:paraId="62B0FC27">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r>
      <w:tr w14:paraId="0E4A14DF">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F913AB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w:t>
            </w:r>
          </w:p>
        </w:tc>
        <w:tc>
          <w:tcPr>
            <w:tcW w:w="2789" w:type="dxa"/>
            <w:tcBorders>
              <w:top w:val="nil"/>
              <w:left w:val="nil"/>
              <w:bottom w:val="single" w:color="auto" w:sz="4" w:space="0"/>
              <w:right w:val="single" w:color="auto" w:sz="4" w:space="0"/>
            </w:tcBorders>
            <w:shd w:val="clear" w:color="auto" w:fill="auto"/>
            <w:noWrap/>
            <w:vAlign w:val="center"/>
          </w:tcPr>
          <w:p w14:paraId="301A110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对营业执照规范使用情况的检查</w:t>
            </w:r>
          </w:p>
        </w:tc>
        <w:tc>
          <w:tcPr>
            <w:tcW w:w="2512" w:type="dxa"/>
            <w:tcBorders>
              <w:top w:val="nil"/>
              <w:left w:val="nil"/>
              <w:bottom w:val="single" w:color="auto" w:sz="4" w:space="0"/>
              <w:right w:val="single" w:color="auto" w:sz="4" w:space="0"/>
            </w:tcBorders>
            <w:shd w:val="clear" w:color="auto" w:fill="auto"/>
            <w:noWrap/>
            <w:vAlign w:val="center"/>
          </w:tcPr>
          <w:p w14:paraId="48ECC47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【行政法规】中华人民共和国市场主体登记管理条例（中华人民共和国国务院令第746号）</w:t>
            </w:r>
          </w:p>
          <w:p w14:paraId="3157CF3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第三十八条第二款  登记机关应当采取随机抽取检查对象、随机选派执法检查人员的方式，对市场主体登记事项进行监督检查，并及时向社会公开监督检查结果。</w:t>
            </w:r>
          </w:p>
          <w:p w14:paraId="2F70B23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【行政法规】无证无照经营查处办法（中华人民共和国国务院令第684号）</w:t>
            </w:r>
          </w:p>
          <w:p w14:paraId="43A9E77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第十一条第一款第三项  县级以上人民政府工商行政管理部门对涉嫌无照经营进行查处，可以行使下列职权：（三）进入涉嫌从事无照经营的场所实施现场检查；</w:t>
            </w:r>
          </w:p>
          <w:p w14:paraId="05857BA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950" w:type="dxa"/>
            <w:tcBorders>
              <w:top w:val="nil"/>
              <w:left w:val="nil"/>
              <w:bottom w:val="single" w:color="auto" w:sz="4" w:space="0"/>
              <w:right w:val="single" w:color="auto" w:sz="4" w:space="0"/>
            </w:tcBorders>
            <w:shd w:val="clear" w:color="auto" w:fill="auto"/>
            <w:noWrap/>
            <w:vAlign w:val="center"/>
          </w:tcPr>
          <w:p w14:paraId="6C57E11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按照规定办理开业、变更、注销登记，按照登记注册事项和章程、合同从事经营活动，公示信息数据与实际一致</w:t>
            </w:r>
          </w:p>
        </w:tc>
        <w:tc>
          <w:tcPr>
            <w:tcW w:w="2564" w:type="dxa"/>
            <w:tcBorders>
              <w:top w:val="nil"/>
              <w:left w:val="nil"/>
              <w:bottom w:val="single" w:color="auto" w:sz="4" w:space="0"/>
              <w:right w:val="single" w:color="auto" w:sz="4" w:space="0"/>
            </w:tcBorders>
            <w:shd w:val="clear" w:color="auto" w:fill="auto"/>
            <w:noWrap/>
            <w:vAlign w:val="center"/>
          </w:tcPr>
          <w:p w14:paraId="74D3ED17">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2次/年</w:t>
            </w:r>
          </w:p>
        </w:tc>
        <w:tc>
          <w:tcPr>
            <w:tcW w:w="2223" w:type="dxa"/>
            <w:tcBorders>
              <w:top w:val="nil"/>
              <w:left w:val="nil"/>
              <w:bottom w:val="single" w:color="auto" w:sz="4" w:space="0"/>
              <w:right w:val="single" w:color="auto" w:sz="4" w:space="0"/>
            </w:tcBorders>
            <w:shd w:val="clear" w:color="auto" w:fill="auto"/>
            <w:noWrap/>
            <w:vAlign w:val="center"/>
          </w:tcPr>
          <w:p w14:paraId="1946EF0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1次/年</w:t>
            </w:r>
          </w:p>
        </w:tc>
        <w:tc>
          <w:tcPr>
            <w:tcW w:w="1055" w:type="dxa"/>
            <w:tcBorders>
              <w:top w:val="nil"/>
              <w:left w:val="nil"/>
              <w:bottom w:val="single" w:color="auto" w:sz="4" w:space="0"/>
              <w:right w:val="single" w:color="auto" w:sz="4" w:space="0"/>
            </w:tcBorders>
            <w:shd w:val="clear" w:color="auto" w:fill="auto"/>
            <w:noWrap/>
            <w:vAlign w:val="center"/>
          </w:tcPr>
          <w:p w14:paraId="0474357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0112CA3E">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143F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23B2BC0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对年度报告公示信息的检查、即时公示信息的检查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2F97F4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【行政法规】企业信息公示暂行条例（中华人民共和国国务院令第654号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2024年3月10日修订</w:t>
            </w:r>
            <w:r>
              <w:rPr>
                <w:rFonts w:hint="eastAsia" w:ascii="楷体" w:hAnsi="楷体" w:eastAsia="楷体" w:cs="楷体"/>
                <w:color w:val="000000"/>
                <w:kern w:val="0"/>
                <w:sz w:val="18"/>
                <w:szCs w:val="18"/>
              </w:rPr>
              <w:t>）</w:t>
            </w:r>
          </w:p>
          <w:p w14:paraId="28C3A47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第十四条第一款  国务院</w:t>
            </w:r>
            <w:r>
              <w:rPr>
                <w:rFonts w:hint="eastAsia" w:ascii="楷体" w:hAnsi="楷体" w:eastAsia="楷体" w:cs="楷体"/>
                <w:color w:val="000000"/>
                <w:kern w:val="0"/>
                <w:sz w:val="18"/>
                <w:szCs w:val="18"/>
                <w:lang w:val="en-US" w:eastAsia="zh-CN"/>
              </w:rPr>
              <w:t>市场监督</w:t>
            </w:r>
            <w:r>
              <w:rPr>
                <w:rFonts w:hint="eastAsia" w:ascii="楷体" w:hAnsi="楷体" w:eastAsia="楷体" w:cs="楷体"/>
                <w:color w:val="000000"/>
                <w:kern w:val="0"/>
                <w:sz w:val="18"/>
                <w:szCs w:val="18"/>
              </w:rPr>
              <w:t>管理部门和省、自治区、直辖市人民政府</w:t>
            </w:r>
            <w:r>
              <w:rPr>
                <w:rFonts w:hint="eastAsia" w:ascii="楷体" w:hAnsi="楷体" w:eastAsia="楷体" w:cs="楷体"/>
                <w:color w:val="000000"/>
                <w:kern w:val="0"/>
                <w:sz w:val="18"/>
                <w:szCs w:val="18"/>
                <w:lang w:val="en-US" w:eastAsia="zh-CN"/>
              </w:rPr>
              <w:t>市场监督</w:t>
            </w:r>
            <w:r>
              <w:rPr>
                <w:rFonts w:hint="eastAsia" w:ascii="楷体" w:hAnsi="楷体" w:eastAsia="楷体" w:cs="楷体"/>
                <w:color w:val="000000"/>
                <w:kern w:val="0"/>
                <w:sz w:val="18"/>
                <w:szCs w:val="18"/>
              </w:rPr>
              <w:t>管理部门应当按照公平规范的要求，根据企业注册号等随机摇号，确定抽查的企业，组织对企业公示信息的情况进行检查。</w:t>
            </w:r>
          </w:p>
          <w:p w14:paraId="5F218EB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【部门规章】企业公示信息抽查暂行办法（中华人民共和国国家工商行政管理总局令第67号）</w:t>
            </w:r>
          </w:p>
          <w:p w14:paraId="7AF6B7A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第三条  国家工商行政管理总局负责指导全国的企业公示信息抽查工作，根据需要开展或者组织地方工商行政管理部门开展企业公示信息抽查工作。</w:t>
            </w:r>
          </w:p>
          <w:p w14:paraId="786716C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省、自治区、直辖市工商行政管理局负责组织或者开展本辖区的企业公示信息抽查工作。</w:t>
            </w:r>
          </w:p>
          <w:p w14:paraId="03D69D9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【部门规章】个体工商户年度报告暂行办法（中华人民共和国国家工商行政管理总局令第69号）</w:t>
            </w:r>
          </w:p>
          <w:p w14:paraId="30C1C70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第十一条  省、自治区、直辖市工商行政管理局应当组织对个体工商户年度报告内容进行随机抽查。</w:t>
            </w:r>
          </w:p>
          <w:p w14:paraId="25BB275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抽查的个体工商户名单和抽查结果应当通过企业信用信息公示系统公示。</w:t>
            </w:r>
          </w:p>
          <w:p w14:paraId="10B0F29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个体工商户年度报告的抽查比例、抽查方式和抽查程序参照《企业公示信息抽查暂行办法》有关规定执行。</w:t>
            </w:r>
          </w:p>
          <w:p w14:paraId="7383992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【部门规章】农民专业合作社年度报告公示暂行办法（中华人民共和国国家工商行政管理总局令第70号）</w:t>
            </w:r>
          </w:p>
          <w:p w14:paraId="29D2E32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第八条  省、自治区、直辖市工商行政管理局应当组织对农民专业合作社年度报告公示信息进行随机抽查。</w:t>
            </w:r>
          </w:p>
          <w:p w14:paraId="37A1AE3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抽查的农民专业合作社名单和抽查结果应当通过企业信用信息公示系统公示。</w:t>
            </w:r>
          </w:p>
          <w:p w14:paraId="265850B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农民专业合作社年度报告公示信息的抽查比例、抽查方式、抽查程序参照《企业公示信息抽查暂行办法》有关规定执行。</w:t>
            </w:r>
          </w:p>
          <w:p w14:paraId="0287CB5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950" w:type="dxa"/>
            <w:tcBorders>
              <w:top w:val="single" w:color="auto" w:sz="4" w:space="0"/>
              <w:left w:val="nil"/>
              <w:bottom w:val="single" w:color="auto" w:sz="4" w:space="0"/>
              <w:right w:val="single" w:color="auto" w:sz="4" w:space="0"/>
            </w:tcBorders>
            <w:shd w:val="clear" w:color="auto" w:fill="auto"/>
            <w:noWrap/>
            <w:vAlign w:val="center"/>
          </w:tcPr>
          <w:p w14:paraId="2DF17CB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公示信息及时，数据与实际一致</w:t>
            </w:r>
          </w:p>
        </w:tc>
        <w:tc>
          <w:tcPr>
            <w:tcW w:w="2564" w:type="dxa"/>
            <w:tcBorders>
              <w:top w:val="single" w:color="auto" w:sz="4" w:space="0"/>
              <w:left w:val="nil"/>
              <w:bottom w:val="single" w:color="auto" w:sz="4" w:space="0"/>
              <w:right w:val="single" w:color="auto" w:sz="4" w:space="0"/>
            </w:tcBorders>
            <w:shd w:val="clear" w:color="auto" w:fill="auto"/>
            <w:noWrap/>
            <w:vAlign w:val="center"/>
          </w:tcPr>
          <w:p w14:paraId="28D4353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223" w:type="dxa"/>
            <w:tcBorders>
              <w:top w:val="single" w:color="auto" w:sz="4" w:space="0"/>
              <w:left w:val="nil"/>
              <w:bottom w:val="single" w:color="auto" w:sz="4" w:space="0"/>
              <w:right w:val="single" w:color="auto" w:sz="4" w:space="0"/>
            </w:tcBorders>
            <w:shd w:val="clear" w:color="auto" w:fill="auto"/>
            <w:noWrap/>
            <w:vAlign w:val="center"/>
          </w:tcPr>
          <w:p w14:paraId="6202664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055" w:type="dxa"/>
            <w:tcBorders>
              <w:top w:val="single" w:color="auto" w:sz="4" w:space="0"/>
              <w:left w:val="nil"/>
              <w:bottom w:val="single" w:color="auto" w:sz="4" w:space="0"/>
              <w:right w:val="single" w:color="auto" w:sz="4" w:space="0"/>
            </w:tcBorders>
            <w:shd w:val="clear" w:color="auto" w:fill="auto"/>
            <w:noWrap/>
            <w:vAlign w:val="center"/>
          </w:tcPr>
          <w:p w14:paraId="232D95C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610718EB">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7A65E">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5A324C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对执行政府定价、政府指导价情况，明码标价情况及其他价格行为的检查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65C100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【法律】中华人民共和国价格法 （中华人民共和国主席令第92号）</w:t>
            </w:r>
          </w:p>
          <w:p w14:paraId="0C9ABAE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第三十三条 县级以上各级人民政府价格主管部门，依法对价格活动进行监督检查，并依照本法的规定对价格违法行为实施行政处罚。  </w:t>
            </w:r>
          </w:p>
          <w:p w14:paraId="5FF990F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【行政法规】中华人民共和国价格管理条例</w:t>
            </w:r>
          </w:p>
          <w:p w14:paraId="4E4DD92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第二十条 各级物价部门的物价检查机构，依法行使价格监督检查和处理价格违法行为的职权。对同级人民政府业务主管部门、下级人民政府以及本地区内的企业、事业单位和个体工商户执行价格法规、政策进行监督检查。</w:t>
            </w:r>
          </w:p>
          <w:p w14:paraId="2218341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【部门规章】明码标价和禁止价格欺诈规定（国家市场监督管理总局令第56号）</w:t>
            </w:r>
          </w:p>
          <w:p w14:paraId="5F3243AE">
            <w:pPr>
              <w:keepNext w:val="0"/>
              <w:keepLines w:val="0"/>
              <w:pageBreakBefore w:val="0"/>
              <w:widowControl/>
              <w:numPr>
                <w:ilvl w:val="0"/>
                <w:numId w:val="1"/>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本规定适用于市场监督管理部门对经营者违反明码标价规定行为和价格欺诈行为的监督管理和查处。</w:t>
            </w:r>
          </w:p>
          <w:p w14:paraId="6A5A218A">
            <w:pPr>
              <w:keepNext w:val="0"/>
              <w:keepLines w:val="0"/>
              <w:pageBreakBefore w:val="0"/>
              <w:widowControl/>
              <w:numPr>
                <w:ilvl w:val="0"/>
                <w:numId w:val="0"/>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950" w:type="dxa"/>
            <w:tcBorders>
              <w:top w:val="single" w:color="auto" w:sz="4" w:space="0"/>
              <w:left w:val="nil"/>
              <w:bottom w:val="single" w:color="auto" w:sz="4" w:space="0"/>
              <w:right w:val="single" w:color="auto" w:sz="4" w:space="0"/>
            </w:tcBorders>
            <w:shd w:val="clear" w:color="auto" w:fill="auto"/>
            <w:noWrap/>
            <w:vAlign w:val="center"/>
          </w:tcPr>
          <w:p w14:paraId="7725412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执行价格法律、法规和国家有关规定情况</w:t>
            </w:r>
          </w:p>
        </w:tc>
        <w:tc>
          <w:tcPr>
            <w:tcW w:w="2564" w:type="dxa"/>
            <w:tcBorders>
              <w:top w:val="single" w:color="auto" w:sz="4" w:space="0"/>
              <w:left w:val="nil"/>
              <w:bottom w:val="single" w:color="auto" w:sz="4" w:space="0"/>
              <w:right w:val="single" w:color="auto" w:sz="4" w:space="0"/>
            </w:tcBorders>
            <w:shd w:val="clear" w:color="auto" w:fill="auto"/>
            <w:noWrap/>
            <w:vAlign w:val="center"/>
          </w:tcPr>
          <w:p w14:paraId="73EDB32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4次/年</w:t>
            </w:r>
          </w:p>
        </w:tc>
        <w:tc>
          <w:tcPr>
            <w:tcW w:w="2223" w:type="dxa"/>
            <w:tcBorders>
              <w:top w:val="single" w:color="auto" w:sz="4" w:space="0"/>
              <w:left w:val="nil"/>
              <w:bottom w:val="single" w:color="auto" w:sz="4" w:space="0"/>
              <w:right w:val="single" w:color="auto" w:sz="4" w:space="0"/>
            </w:tcBorders>
            <w:shd w:val="clear" w:color="auto" w:fill="auto"/>
            <w:noWrap/>
            <w:vAlign w:val="center"/>
          </w:tcPr>
          <w:p w14:paraId="67EC395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055" w:type="dxa"/>
            <w:tcBorders>
              <w:top w:val="single" w:color="auto" w:sz="4" w:space="0"/>
              <w:left w:val="nil"/>
              <w:bottom w:val="single" w:color="auto" w:sz="4" w:space="0"/>
              <w:right w:val="single" w:color="auto" w:sz="4" w:space="0"/>
            </w:tcBorders>
            <w:shd w:val="clear" w:color="auto" w:fill="auto"/>
            <w:noWrap/>
            <w:vAlign w:val="center"/>
          </w:tcPr>
          <w:p w14:paraId="4CEA9DC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5441007F">
        <w:tblPrEx>
          <w:tblCellMar>
            <w:top w:w="0" w:type="dxa"/>
            <w:left w:w="108" w:type="dxa"/>
            <w:bottom w:w="0" w:type="dxa"/>
            <w:right w:w="108" w:type="dxa"/>
          </w:tblCellMar>
        </w:tblPrEx>
        <w:trPr>
          <w:trHeight w:val="33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CEAAA7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4</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75B161B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对组织者或者经营者的传销行为的检查</w:t>
            </w:r>
          </w:p>
        </w:tc>
        <w:tc>
          <w:tcPr>
            <w:tcW w:w="2512" w:type="dxa"/>
            <w:tcBorders>
              <w:top w:val="nil"/>
              <w:left w:val="nil"/>
              <w:bottom w:val="single" w:color="auto" w:sz="4" w:space="0"/>
              <w:right w:val="single" w:color="auto" w:sz="4" w:space="0"/>
            </w:tcBorders>
            <w:shd w:val="clear" w:color="auto" w:fill="auto"/>
            <w:noWrap/>
            <w:vAlign w:val="center"/>
          </w:tcPr>
          <w:p w14:paraId="6CD0304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【行政法规】禁止传销条例（中华人民共和国国务院令第444号）</w:t>
            </w:r>
          </w:p>
          <w:p w14:paraId="52750B8A">
            <w:pPr>
              <w:keepNext w:val="0"/>
              <w:keepLines w:val="0"/>
              <w:pageBreakBefore w:val="0"/>
              <w:widowControl/>
              <w:numPr>
                <w:ilvl w:val="0"/>
                <w:numId w:val="1"/>
              </w:numPr>
              <w:kinsoku/>
              <w:wordWrap/>
              <w:overflowPunct/>
              <w:topLinePunct w:val="0"/>
              <w:autoSpaceDE/>
              <w:autoSpaceDN/>
              <w:bidi w:val="0"/>
              <w:adjustRightInd/>
              <w:snapToGrid/>
              <w:spacing w:line="180" w:lineRule="exact"/>
              <w:ind w:left="0" w:leftChars="0" w:firstLine="0" w:firstLineChars="0"/>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xml:space="preserve"> 工商行政管理部门、公安机关应当依照本条例的规定，在各自的职责范围内查处传销行为。</w:t>
            </w:r>
          </w:p>
          <w:p w14:paraId="6F66D354">
            <w:pPr>
              <w:keepNext w:val="0"/>
              <w:keepLines w:val="0"/>
              <w:pageBreakBefore w:val="0"/>
              <w:widowControl/>
              <w:numPr>
                <w:ilvl w:val="0"/>
                <w:numId w:val="0"/>
              </w:numPr>
              <w:kinsoku/>
              <w:wordWrap/>
              <w:overflowPunct/>
              <w:topLinePunct w:val="0"/>
              <w:autoSpaceDE/>
              <w:autoSpaceDN/>
              <w:bidi w:val="0"/>
              <w:adjustRightInd/>
              <w:snapToGrid/>
              <w:spacing w:line="180" w:lineRule="exact"/>
              <w:ind w:leftChars="0"/>
              <w:jc w:val="left"/>
              <w:textAlignment w:val="auto"/>
              <w:rPr>
                <w:rFonts w:hint="eastAsia" w:ascii="楷体" w:hAnsi="楷体" w:eastAsia="楷体" w:cs="楷体"/>
                <w:color w:val="000000"/>
                <w:kern w:val="0"/>
                <w:sz w:val="18"/>
                <w:szCs w:val="18"/>
                <w:lang w:eastAsia="zh-CN"/>
              </w:rPr>
            </w:pPr>
          </w:p>
        </w:tc>
        <w:tc>
          <w:tcPr>
            <w:tcW w:w="2950" w:type="dxa"/>
            <w:tcBorders>
              <w:top w:val="nil"/>
              <w:left w:val="nil"/>
              <w:bottom w:val="single" w:color="auto" w:sz="4" w:space="0"/>
              <w:right w:val="single" w:color="auto" w:sz="4" w:space="0"/>
            </w:tcBorders>
            <w:shd w:val="clear" w:color="auto" w:fill="auto"/>
            <w:noWrap/>
            <w:vAlign w:val="center"/>
          </w:tcPr>
          <w:p w14:paraId="2BFFFFA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企业经营中禁止存在传销行为</w:t>
            </w:r>
          </w:p>
        </w:tc>
        <w:tc>
          <w:tcPr>
            <w:tcW w:w="2564" w:type="dxa"/>
            <w:tcBorders>
              <w:top w:val="nil"/>
              <w:left w:val="nil"/>
              <w:bottom w:val="single" w:color="auto" w:sz="4" w:space="0"/>
              <w:right w:val="single" w:color="auto" w:sz="4" w:space="0"/>
            </w:tcBorders>
            <w:shd w:val="clear" w:color="auto" w:fill="auto"/>
            <w:noWrap/>
            <w:vAlign w:val="center"/>
          </w:tcPr>
          <w:p w14:paraId="66204D4A">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223" w:type="dxa"/>
            <w:tcBorders>
              <w:top w:val="nil"/>
              <w:left w:val="nil"/>
              <w:bottom w:val="single" w:color="auto" w:sz="4" w:space="0"/>
              <w:right w:val="single" w:color="auto" w:sz="4" w:space="0"/>
            </w:tcBorders>
            <w:shd w:val="clear" w:color="auto" w:fill="auto"/>
            <w:noWrap/>
            <w:vAlign w:val="center"/>
          </w:tcPr>
          <w:p w14:paraId="097C03E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055" w:type="dxa"/>
            <w:tcBorders>
              <w:top w:val="nil"/>
              <w:left w:val="nil"/>
              <w:bottom w:val="single" w:color="auto" w:sz="4" w:space="0"/>
              <w:right w:val="single" w:color="auto" w:sz="4" w:space="0"/>
            </w:tcBorders>
            <w:shd w:val="clear" w:color="auto" w:fill="auto"/>
            <w:noWrap/>
            <w:vAlign w:val="center"/>
          </w:tcPr>
          <w:p w14:paraId="502DC18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10C7EA04">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B99E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5</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335D70C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对直销企业、直销员及其直销活动的检查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993061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【行政法规】直销管理条例（中华人民共和国国务院令第676号）</w:t>
            </w:r>
          </w:p>
          <w:p w14:paraId="7A2D5E0D">
            <w:pPr>
              <w:keepNext w:val="0"/>
              <w:keepLines w:val="0"/>
              <w:pageBreakBefore w:val="0"/>
              <w:widowControl/>
              <w:numPr>
                <w:ilvl w:val="0"/>
                <w:numId w:val="2"/>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国务院商务主管部门和工商行政管理部门依照其职责分工和本条例规定，负责对直销企业和直销员及其直销活动实施监督管理。</w:t>
            </w:r>
          </w:p>
          <w:p w14:paraId="02EA440F">
            <w:pPr>
              <w:keepNext w:val="0"/>
              <w:keepLines w:val="0"/>
              <w:pageBreakBefore w:val="0"/>
              <w:widowControl/>
              <w:numPr>
                <w:ilvl w:val="0"/>
                <w:numId w:val="0"/>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p w14:paraId="04DD120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第三十五条  工商行政管理部门负责对直销企业和直销员及其直销活动实施日常的监督管理。工商行政管理部门可以采取下列措施进行现场检查：</w:t>
            </w:r>
          </w:p>
          <w:p w14:paraId="31728FC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（一）进入相关企业进行检查；</w:t>
            </w:r>
          </w:p>
          <w:p w14:paraId="583C300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（二）要求相关企业提供有关文件、资料和证明材料；</w:t>
            </w:r>
          </w:p>
          <w:p w14:paraId="49AB5C8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（三）询问当事人、利害关系人和其他有关人员，并要求其提供有关材料；</w:t>
            </w:r>
          </w:p>
          <w:p w14:paraId="0C941C6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（四）查阅、复制、查封、扣押相关企业与直销活动有关的材料和非法财物；</w:t>
            </w:r>
          </w:p>
          <w:p w14:paraId="5C36446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（五）检查有关人员的直销培训员证、直销员证等证件</w:t>
            </w:r>
            <w:r>
              <w:rPr>
                <w:rFonts w:hint="eastAsia" w:ascii="楷体" w:hAnsi="楷体" w:eastAsia="楷体" w:cs="楷体"/>
                <w:color w:val="000000"/>
                <w:kern w:val="0"/>
                <w:sz w:val="18"/>
                <w:szCs w:val="18"/>
                <w:lang w:eastAsia="zh-CN"/>
              </w:rPr>
              <w:t>。</w:t>
            </w:r>
          </w:p>
          <w:p w14:paraId="05AB12A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p>
        </w:tc>
        <w:tc>
          <w:tcPr>
            <w:tcW w:w="2950" w:type="dxa"/>
            <w:tcBorders>
              <w:top w:val="single" w:color="auto" w:sz="4" w:space="0"/>
              <w:left w:val="nil"/>
              <w:bottom w:val="single" w:color="auto" w:sz="4" w:space="0"/>
              <w:right w:val="single" w:color="auto" w:sz="4" w:space="0"/>
            </w:tcBorders>
            <w:shd w:val="clear" w:color="auto" w:fill="auto"/>
            <w:noWrap/>
            <w:vAlign w:val="center"/>
          </w:tcPr>
          <w:p w14:paraId="24FF11F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直销企业和直销员及其直销活动符合《直销管理条例》相关规定</w:t>
            </w:r>
          </w:p>
        </w:tc>
        <w:tc>
          <w:tcPr>
            <w:tcW w:w="2564" w:type="dxa"/>
            <w:tcBorders>
              <w:top w:val="single" w:color="auto" w:sz="4" w:space="0"/>
              <w:left w:val="nil"/>
              <w:bottom w:val="single" w:color="auto" w:sz="4" w:space="0"/>
              <w:right w:val="single" w:color="auto" w:sz="4" w:space="0"/>
            </w:tcBorders>
            <w:shd w:val="clear" w:color="auto" w:fill="auto"/>
            <w:noWrap/>
            <w:vAlign w:val="center"/>
          </w:tcPr>
          <w:p w14:paraId="579EC34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223" w:type="dxa"/>
            <w:tcBorders>
              <w:top w:val="single" w:color="auto" w:sz="4" w:space="0"/>
              <w:left w:val="nil"/>
              <w:bottom w:val="single" w:color="auto" w:sz="4" w:space="0"/>
              <w:right w:val="single" w:color="auto" w:sz="4" w:space="0"/>
            </w:tcBorders>
            <w:shd w:val="clear" w:color="auto" w:fill="auto"/>
            <w:noWrap/>
            <w:vAlign w:val="center"/>
          </w:tcPr>
          <w:p w14:paraId="20178FD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055" w:type="dxa"/>
            <w:tcBorders>
              <w:top w:val="single" w:color="auto" w:sz="4" w:space="0"/>
              <w:left w:val="nil"/>
              <w:bottom w:val="single" w:color="auto" w:sz="4" w:space="0"/>
              <w:right w:val="single" w:color="auto" w:sz="4" w:space="0"/>
            </w:tcBorders>
            <w:shd w:val="clear" w:color="auto" w:fill="auto"/>
            <w:noWrap/>
            <w:vAlign w:val="center"/>
          </w:tcPr>
          <w:p w14:paraId="6D00137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7DF7AB1D">
        <w:tblPrEx>
          <w:tblCellMar>
            <w:top w:w="0" w:type="dxa"/>
            <w:left w:w="108" w:type="dxa"/>
            <w:bottom w:w="0" w:type="dxa"/>
            <w:right w:w="108" w:type="dxa"/>
          </w:tblCellMar>
        </w:tblPrEx>
        <w:trPr>
          <w:trHeight w:val="5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ED109">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6</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35B4944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对不正当竞争行为的检查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6E79C84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【法律】中华人民共和国反不正当竞争法（中华人民共和国主席令第29号）</w:t>
            </w:r>
          </w:p>
          <w:p w14:paraId="2477A683">
            <w:pPr>
              <w:keepNext w:val="0"/>
              <w:keepLines w:val="0"/>
              <w:pageBreakBefore w:val="0"/>
              <w:widowControl/>
              <w:numPr>
                <w:ilvl w:val="0"/>
                <w:numId w:val="1"/>
              </w:numPr>
              <w:kinsoku/>
              <w:wordWrap/>
              <w:overflowPunct/>
              <w:topLinePunct w:val="0"/>
              <w:autoSpaceDE/>
              <w:autoSpaceDN/>
              <w:bidi w:val="0"/>
              <w:adjustRightInd/>
              <w:snapToGrid/>
              <w:spacing w:line="180" w:lineRule="exact"/>
              <w:ind w:left="0" w:leftChars="0" w:firstLine="0" w:firstLineChars="0"/>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县级以上人民政府履行工商行政管理职责的部门对不正当竞争行为进行查处；法律、行政法规规定由其他部门查处的，依照其规定。</w:t>
            </w:r>
          </w:p>
          <w:p w14:paraId="54EA6A95">
            <w:pPr>
              <w:keepNext w:val="0"/>
              <w:keepLines w:val="0"/>
              <w:pageBreakBefore w:val="0"/>
              <w:widowControl/>
              <w:numPr>
                <w:ilvl w:val="0"/>
                <w:numId w:val="0"/>
              </w:numPr>
              <w:kinsoku/>
              <w:wordWrap/>
              <w:overflowPunct/>
              <w:topLinePunct w:val="0"/>
              <w:autoSpaceDE/>
              <w:autoSpaceDN/>
              <w:bidi w:val="0"/>
              <w:adjustRightInd/>
              <w:snapToGrid/>
              <w:spacing w:line="180" w:lineRule="exact"/>
              <w:ind w:leftChars="0"/>
              <w:jc w:val="left"/>
              <w:textAlignment w:val="auto"/>
              <w:rPr>
                <w:rFonts w:hint="eastAsia" w:ascii="楷体" w:hAnsi="楷体" w:eastAsia="楷体" w:cs="楷体"/>
                <w:color w:val="000000"/>
                <w:kern w:val="0"/>
                <w:sz w:val="18"/>
                <w:szCs w:val="18"/>
              </w:rPr>
            </w:pPr>
          </w:p>
        </w:tc>
        <w:tc>
          <w:tcPr>
            <w:tcW w:w="2950" w:type="dxa"/>
            <w:tcBorders>
              <w:top w:val="single" w:color="auto" w:sz="4" w:space="0"/>
              <w:left w:val="nil"/>
              <w:bottom w:val="single" w:color="auto" w:sz="4" w:space="0"/>
              <w:right w:val="single" w:color="auto" w:sz="4" w:space="0"/>
            </w:tcBorders>
            <w:shd w:val="clear" w:color="auto" w:fill="auto"/>
            <w:noWrap/>
            <w:vAlign w:val="center"/>
          </w:tcPr>
          <w:p w14:paraId="0C986DF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经营符合《反不正当竞争法》相关规定</w:t>
            </w:r>
          </w:p>
        </w:tc>
        <w:tc>
          <w:tcPr>
            <w:tcW w:w="2564" w:type="dxa"/>
            <w:tcBorders>
              <w:top w:val="single" w:color="auto" w:sz="4" w:space="0"/>
              <w:left w:val="nil"/>
              <w:bottom w:val="single" w:color="auto" w:sz="4" w:space="0"/>
              <w:right w:val="single" w:color="auto" w:sz="4" w:space="0"/>
            </w:tcBorders>
            <w:shd w:val="clear" w:color="auto" w:fill="auto"/>
            <w:noWrap/>
            <w:vAlign w:val="center"/>
          </w:tcPr>
          <w:p w14:paraId="7FCAEB3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223" w:type="dxa"/>
            <w:tcBorders>
              <w:top w:val="single" w:color="auto" w:sz="4" w:space="0"/>
              <w:left w:val="nil"/>
              <w:bottom w:val="single" w:color="auto" w:sz="4" w:space="0"/>
              <w:right w:val="single" w:color="auto" w:sz="4" w:space="0"/>
            </w:tcBorders>
            <w:shd w:val="clear" w:color="auto" w:fill="auto"/>
            <w:noWrap/>
            <w:vAlign w:val="center"/>
          </w:tcPr>
          <w:p w14:paraId="5DD4341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055" w:type="dxa"/>
            <w:tcBorders>
              <w:top w:val="single" w:color="auto" w:sz="4" w:space="0"/>
              <w:left w:val="nil"/>
              <w:bottom w:val="single" w:color="auto" w:sz="4" w:space="0"/>
              <w:right w:val="single" w:color="auto" w:sz="4" w:space="0"/>
            </w:tcBorders>
            <w:shd w:val="clear" w:color="auto" w:fill="auto"/>
            <w:noWrap/>
            <w:vAlign w:val="center"/>
          </w:tcPr>
          <w:p w14:paraId="023D4E2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bl>
    <w:tbl>
      <w:tblPr>
        <w:tblStyle w:val="2"/>
        <w:tblpPr w:leftFromText="180" w:rightFromText="180" w:vertAnchor="text" w:horzAnchor="page" w:tblpX="939" w:tblpY="3874"/>
        <w:tblOverlap w:val="never"/>
        <w:tblW w:w="15101" w:type="dxa"/>
        <w:tblInd w:w="0" w:type="dxa"/>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147C8C98">
        <w:tblPrEx>
          <w:tblCellMar>
            <w:top w:w="0" w:type="dxa"/>
            <w:left w:w="108" w:type="dxa"/>
            <w:bottom w:w="0" w:type="dxa"/>
            <w:right w:w="108" w:type="dxa"/>
          </w:tblCellMar>
        </w:tblPrEx>
        <w:trPr>
          <w:trHeight w:val="1280" w:hRule="atLeast"/>
        </w:trPr>
        <w:tc>
          <w:tcPr>
            <w:tcW w:w="15101" w:type="dxa"/>
            <w:gridSpan w:val="7"/>
            <w:tcBorders>
              <w:top w:val="nil"/>
              <w:left w:val="nil"/>
              <w:bottom w:val="nil"/>
              <w:right w:val="nil"/>
            </w:tcBorders>
            <w:shd w:val="clear" w:color="auto" w:fill="auto"/>
            <w:noWrap/>
            <w:vAlign w:val="center"/>
          </w:tcPr>
          <w:p w14:paraId="5FE9F576">
            <w:pPr>
              <w:keepNext w:val="0"/>
              <w:keepLines w:val="0"/>
              <w:pageBreakBefore w:val="0"/>
              <w:widowControl/>
              <w:kinsoku/>
              <w:wordWrap/>
              <w:overflowPunct/>
              <w:topLinePunct w:val="0"/>
              <w:autoSpaceDE/>
              <w:autoSpaceDN/>
              <w:bidi w:val="0"/>
              <w:adjustRightInd/>
              <w:snapToGrid/>
              <w:spacing w:line="180" w:lineRule="exact"/>
              <w:jc w:val="both"/>
              <w:textAlignment w:val="auto"/>
              <w:rPr>
                <w:rFonts w:ascii="方正小标宋简体" w:hAnsi="方正小标宋简体" w:eastAsia="方正小标宋简体" w:cs="宋体"/>
                <w:color w:val="000000"/>
                <w:kern w:val="0"/>
                <w:sz w:val="48"/>
                <w:szCs w:val="48"/>
              </w:rPr>
            </w:pPr>
          </w:p>
        </w:tc>
      </w:tr>
      <w:tr w14:paraId="08FA86C0">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3E90D79D">
            <w:pPr>
              <w:keepNext w:val="0"/>
              <w:keepLines w:val="0"/>
              <w:pageBreakBefore w:val="0"/>
              <w:widowControl/>
              <w:kinsoku/>
              <w:wordWrap/>
              <w:overflowPunct/>
              <w:topLinePunct w:val="0"/>
              <w:autoSpaceDE/>
              <w:autoSpaceDN/>
              <w:bidi w:val="0"/>
              <w:adjustRightInd/>
              <w:snapToGrid/>
              <w:spacing w:line="180" w:lineRule="exact"/>
              <w:ind w:firstLine="800" w:firstLineChars="250"/>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5B36940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2C05B1A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818" w:type="dxa"/>
            <w:tcBorders>
              <w:top w:val="nil"/>
              <w:left w:val="nil"/>
              <w:bottom w:val="nil"/>
              <w:right w:val="nil"/>
            </w:tcBorders>
            <w:shd w:val="clear" w:color="auto" w:fill="auto"/>
            <w:noWrap/>
            <w:vAlign w:val="center"/>
          </w:tcPr>
          <w:p w14:paraId="5B6AA7C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3462" w:type="dxa"/>
            <w:gridSpan w:val="2"/>
            <w:tcBorders>
              <w:top w:val="nil"/>
              <w:left w:val="nil"/>
              <w:bottom w:val="single" w:color="auto" w:sz="4" w:space="0"/>
              <w:right w:val="nil"/>
            </w:tcBorders>
            <w:shd w:val="clear" w:color="auto" w:fill="auto"/>
            <w:noWrap/>
            <w:vAlign w:val="center"/>
          </w:tcPr>
          <w:p w14:paraId="6DA62F65">
            <w:pPr>
              <w:keepNext w:val="0"/>
              <w:keepLines w:val="0"/>
              <w:pageBreakBefore w:val="0"/>
              <w:widowControl/>
              <w:kinsoku/>
              <w:wordWrap/>
              <w:overflowPunct/>
              <w:topLinePunct w:val="0"/>
              <w:autoSpaceDE/>
              <w:autoSpaceDN/>
              <w:bidi w:val="0"/>
              <w:adjustRightInd/>
              <w:snapToGrid/>
              <w:spacing w:line="180" w:lineRule="exac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1C0256EF">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7FB4FE7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 xml:space="preserve"> 7</w:t>
            </w:r>
          </w:p>
        </w:tc>
        <w:tc>
          <w:tcPr>
            <w:tcW w:w="2789" w:type="dxa"/>
            <w:tcBorders>
              <w:top w:val="nil"/>
              <w:left w:val="nil"/>
              <w:bottom w:val="single" w:color="auto" w:sz="4" w:space="0"/>
              <w:right w:val="single" w:color="auto" w:sz="4" w:space="0"/>
            </w:tcBorders>
            <w:shd w:val="clear" w:color="auto" w:fill="auto"/>
            <w:noWrap/>
            <w:vAlign w:val="center"/>
          </w:tcPr>
          <w:p w14:paraId="0F303B1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对电子商务经营者</w:t>
            </w:r>
            <w:r>
              <w:rPr>
                <w:rFonts w:hint="eastAsia" w:ascii="楷体" w:hAnsi="楷体" w:eastAsia="楷体" w:cs="楷体"/>
                <w:color w:val="000000"/>
                <w:kern w:val="0"/>
                <w:sz w:val="18"/>
                <w:szCs w:val="18"/>
                <w:lang w:val="en-US" w:eastAsia="zh-CN"/>
              </w:rPr>
              <w:t>及</w:t>
            </w:r>
            <w:r>
              <w:rPr>
                <w:rFonts w:hint="eastAsia" w:ascii="楷体" w:hAnsi="楷体" w:eastAsia="楷体" w:cs="楷体"/>
                <w:color w:val="000000"/>
                <w:kern w:val="0"/>
                <w:sz w:val="18"/>
                <w:szCs w:val="18"/>
              </w:rPr>
              <w:t>平台经营者履行主体责任的检查</w:t>
            </w:r>
          </w:p>
        </w:tc>
        <w:tc>
          <w:tcPr>
            <w:tcW w:w="2512" w:type="dxa"/>
            <w:tcBorders>
              <w:top w:val="nil"/>
              <w:left w:val="nil"/>
              <w:bottom w:val="single" w:color="auto" w:sz="4" w:space="0"/>
              <w:right w:val="single" w:color="auto" w:sz="4" w:space="0"/>
            </w:tcBorders>
            <w:shd w:val="clear" w:color="auto" w:fill="auto"/>
            <w:noWrap/>
            <w:vAlign w:val="center"/>
          </w:tcPr>
          <w:p w14:paraId="2108542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【法律】中华人民共和国电子商务法（中华人民共和国主席令第7号）</w:t>
            </w:r>
          </w:p>
          <w:p w14:paraId="0500343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第十五条  电子商务经营者应当在其首页显著位置，持续公示营业执照信息、与其经营业务有关的行政许可信息、属于依照本法第十条规定的不需要办理市场主体登记情形等信息，或者上述信息的链接标识。</w:t>
            </w:r>
          </w:p>
          <w:p w14:paraId="26B3B49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14:paraId="2F265F3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  电子商务经营者根据消费者的兴趣爱好、消费习惯等特征向其提供商品或者服务的搜索结果的，应当同时向该消费者提供不针对其个人特征的选项，尊重和平等保护消费者合法权益。</w:t>
            </w:r>
          </w:p>
          <w:p w14:paraId="169BB7E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第十九条  电子商务经营者搭售商品或者服务，应当以显著方式提请消费者注意，不得将搭售商品或者服务作为默认同意的选项。</w:t>
            </w:r>
          </w:p>
          <w:p w14:paraId="36CBD87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第二十四条  电子商务经营者应当明示用户信息查询、更正、删除以及用户注销的方式、程序，不得对用户信息查询、更正、删除以及用户注销设置不合理条件。</w:t>
            </w:r>
          </w:p>
          <w:p w14:paraId="1674F14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【法律】中华人民共和国电子商务法（中华人民共和国主席令第7号）</w:t>
            </w:r>
          </w:p>
          <w:p w14:paraId="3791919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第二十七条  电子商务平台经营者应当要求申请进入平台销售商品或者提供服务的经营者提交其身份、地址、联系方式、行政许可等真实信息，进行核验、登记，建立登记档案，并定期核验更新。</w:t>
            </w:r>
          </w:p>
          <w:p w14:paraId="1ABA6AC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14:paraId="02D8CA4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第三十二条  电子商务平台经营者应当遵循公开、公平、公正的原则，制定平台服务协议和交易规则，明确进入和退出平台、商品和服务质量保障、消费者权益保护、个人信息保护等方面的权利和义务。</w:t>
            </w:r>
          </w:p>
          <w:p w14:paraId="15022B5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第三十三条　电子商务平台经营者应当在其首页显著位置持续公示平台服务协议和交易规则信息或者上述信息的链接标识，并保证经营者和消费者能够便利、完整地阅览和下载。</w:t>
            </w:r>
          </w:p>
          <w:p w14:paraId="537DFE7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第三十四条  电子商务平台经营者修改平台服务协议和交易规则，应当在其首页显著位置公开征求意见，采取合理措施确保有关各方能够及时充分表达意见。修改内容应当至少在实施前七日予以公示。</w:t>
            </w:r>
          </w:p>
          <w:p w14:paraId="50D05EA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第三十七条  电子商务平台经营者在其平台上开展自营业务的，应当以显著方式区分标记自营业务和平台内经营者开展的业务，不得误导消费者。</w:t>
            </w:r>
          </w:p>
          <w:p w14:paraId="6050458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第三十九条  电子商务平台经营者应当建立健全信用评价制度，公示信用评价规则，为消费者提供对平台内销售的商品或者提供的服务进行评价的途径。</w:t>
            </w:r>
          </w:p>
          <w:p w14:paraId="3A89BE6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电子商务平台经营者不得删除消费者对其平台内销售的商品或者提供的服务的评价。</w:t>
            </w:r>
          </w:p>
          <w:p w14:paraId="6F54ED1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nil"/>
              <w:left w:val="nil"/>
              <w:bottom w:val="single" w:color="auto" w:sz="4" w:space="0"/>
              <w:right w:val="single" w:color="auto" w:sz="4" w:space="0"/>
            </w:tcBorders>
            <w:shd w:val="clear" w:color="auto" w:fill="auto"/>
            <w:noWrap/>
            <w:vAlign w:val="center"/>
          </w:tcPr>
          <w:p w14:paraId="2551619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电子商务经营者</w:t>
            </w:r>
            <w:r>
              <w:rPr>
                <w:rFonts w:hint="eastAsia" w:ascii="楷体" w:hAnsi="楷体" w:eastAsia="楷体" w:cs="楷体"/>
                <w:color w:val="000000"/>
                <w:kern w:val="0"/>
                <w:sz w:val="18"/>
                <w:szCs w:val="18"/>
                <w:lang w:eastAsia="zh-CN"/>
              </w:rPr>
              <w:t>：在其首页显著位置，持续公示营业执照信息、与其经营业务有关的行政许可信息、或者上述信息的链接标识。</w:t>
            </w:r>
          </w:p>
          <w:p w14:paraId="6A7CD13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确保信息的完整性、保密性、可用性。商品和服务信息、交易信息保存时间自交易完成之日起不少于三年；法律、行政法规另有规定的，依照其规定。</w:t>
            </w:r>
          </w:p>
          <w:p w14:paraId="74A85C6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保障消费者的知情权和选择权。电子商务经营者不得以虚构交易、编造用户评价等方式进行虚假或者引人误解的商业宣传，欺骗、误导消费者。</w:t>
            </w:r>
          </w:p>
          <w:p w14:paraId="70C9D0E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向该消费者提供不针对其个人特征的选项，尊重和平等保护消费者合法权益。</w:t>
            </w:r>
          </w:p>
          <w:p w14:paraId="506C3E8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不得将搭售商品或者服务作为默认同意的选项。</w:t>
            </w:r>
          </w:p>
          <w:p w14:paraId="7C3F2AB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用户管理不得设置不合理条件。</w:t>
            </w:r>
          </w:p>
          <w:p w14:paraId="1DBA0E8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电子商务平台经营者：电子商务平台经营者应当遵守《中华人民共和国电子商务法》，履行主体责任，建立登记档案，并定期核验更新；</w:t>
            </w:r>
          </w:p>
          <w:p w14:paraId="3DA8616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平台发布商品和服务信息管理保证完整性、保密性、可用性，且保存时间不少于三年；</w:t>
            </w:r>
          </w:p>
          <w:p w14:paraId="1A277D6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服务协议和交易规则遵循公开、公平、公正原则；</w:t>
            </w:r>
          </w:p>
          <w:p w14:paraId="7FA20B6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在其首页显著位置持续公示平台服务协议和交易规则信息或者上述信息的链接标识，并保证经营者和消费者能够便利、完整地阅览和下载；</w:t>
            </w:r>
          </w:p>
          <w:p w14:paraId="241CC5F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修改内容应当至少在实施前七日予以公示；</w:t>
            </w:r>
          </w:p>
          <w:p w14:paraId="70EFB10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明确进入和退出平台、商品和服务质量保障、消费者权益保护、个人信息保护等方面的权利和义务；</w:t>
            </w:r>
          </w:p>
          <w:p w14:paraId="746E2AA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以显著方式区分标记自营业务和平台内经营者开展的业务，不得误导消费者；</w:t>
            </w:r>
          </w:p>
          <w:p w14:paraId="172D19C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为消费者提供对平台内销售的商品或者提供的服务进行评价的途径；</w:t>
            </w:r>
          </w:p>
          <w:p w14:paraId="5F6A4B6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电子商务平台经营者不得删除消费者对其平台内销售的商品或者提供的服务的评价；</w:t>
            </w:r>
          </w:p>
          <w:p w14:paraId="6099CC9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不得对用户信息查询、更正、删除以及用户注销设置不合理条件。</w:t>
            </w:r>
          </w:p>
        </w:tc>
        <w:tc>
          <w:tcPr>
            <w:tcW w:w="2818" w:type="dxa"/>
            <w:tcBorders>
              <w:top w:val="nil"/>
              <w:left w:val="nil"/>
              <w:bottom w:val="single" w:color="auto" w:sz="4" w:space="0"/>
              <w:right w:val="single" w:color="auto" w:sz="4" w:space="0"/>
            </w:tcBorders>
            <w:shd w:val="clear" w:color="auto" w:fill="auto"/>
            <w:noWrap/>
            <w:vAlign w:val="center"/>
          </w:tcPr>
          <w:p w14:paraId="282647F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44E46EC9">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2359AA0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162B7995">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7E17">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8</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41DEFA7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对广告发布情况的检查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3DE9D9D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【法律】中华人民共和国广告法（中华人民共和国主席令第81号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2021年4月29日第二次修订</w:t>
            </w:r>
            <w:r>
              <w:rPr>
                <w:rFonts w:hint="eastAsia" w:ascii="楷体" w:hAnsi="楷体" w:eastAsia="楷体" w:cs="楷体"/>
                <w:color w:val="000000"/>
                <w:kern w:val="0"/>
                <w:sz w:val="18"/>
                <w:szCs w:val="18"/>
              </w:rPr>
              <w:t>）</w:t>
            </w:r>
          </w:p>
          <w:p w14:paraId="12C1B2F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第六条  国务院市场监督管理部门主管全国的广告监督管理工作，国务院有关部门在各自的职责范围内负责广告管理相关工作。</w:t>
            </w:r>
          </w:p>
          <w:p w14:paraId="3A303CE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县级以上地方市场监督管理部门主管本行政区域的广告监督管理工作，县级以上地方人民政府有关部门在各自的职责范围内负责广告管理相关工作。</w:t>
            </w:r>
          </w:p>
          <w:p w14:paraId="3FD51E2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第四十九条第一款第一项  市场监督管理部门履行广告监督管理职责，可以行使下列职权：</w:t>
            </w:r>
          </w:p>
          <w:p w14:paraId="1A2CA6D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（一）对涉嫌从事违法广告活动的场所实施现场检查；</w:t>
            </w:r>
          </w:p>
          <w:p w14:paraId="048B02D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4208ED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1.无虚假广告行为</w:t>
            </w:r>
          </w:p>
          <w:p w14:paraId="277A5A4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2.无其他违法广告行为</w:t>
            </w:r>
          </w:p>
          <w:p w14:paraId="742364B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3.依法进行广告代言活动</w:t>
            </w:r>
          </w:p>
          <w:p w14:paraId="4F090B5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4.在互联网页面以弹出等形式发布的广告显著标明关闭标志，确保一键关闭</w:t>
            </w:r>
          </w:p>
          <w:p w14:paraId="5A5FE12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5.公共场所的管理者或者电信业务经营者、互联网信息服务提供者对其明知或者应知的利用其场所或者信息传输、发布平台发送、发布的违法广告予以制止</w:t>
            </w:r>
          </w:p>
          <w:p w14:paraId="292B096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6.广告主、广告经营者、广告发布者在广告中无以欺骗方式诱使用户点击广告内容的行为</w:t>
            </w:r>
          </w:p>
          <w:p w14:paraId="4EE8981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7.广告经营者、广告发布者在其他食品广告中未宣传保健功能，也未借助宣传某些成分的作用明示或者暗示其具有保健功能</w:t>
            </w:r>
          </w:p>
          <w:p w14:paraId="5704558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8.广告主在其他食品广告中未宣传保健功能，也未借助宣传某些成分的作用明示或者暗示其具有保健功能</w:t>
            </w:r>
          </w:p>
          <w:p w14:paraId="3711DFD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9.广告主、广告经营者、广告发布者在广告中使用的语言文字、数字、标点符号和计量单位等符合国家有关规范、标准和规定</w:t>
            </w:r>
          </w:p>
          <w:p w14:paraId="00C1BD2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10.广告内容应当符合法律、法规规定，准确、清楚、明白。涉及优惠措施的广告，应当明示优惠的范围、期限和内容。推销有专用附件商品的广告，应当明示该商品必须购买的附件。</w:t>
            </w:r>
          </w:p>
          <w:p w14:paraId="389F4F9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药品、医疗、医疗器械、保健食品、特殊医学用途配方食品、农药、兽药以及其他依法需要由有关部门审查的广告，应当明示广告审查批准文号。推销设备、技术、种子、种苗、种畜、种禽、种兽以及加工承揽广告，表明回收产品的，应当明确回收的期限、价格、数量、质量要求等内容。</w:t>
            </w:r>
          </w:p>
          <w:p w14:paraId="501D35F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11.广告经营者、广告发布者明知或者应知广告主发布广告未明示有关内容的，不得设计、制作、代理、发布。</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0059DC7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7D5C1EF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295E479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46E6F68E">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6D40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9</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5CB475A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对医疗、药品、医疗器械、农药、兽药、保健食品、特殊医学用途配方食品等广告主发布相关广告的审查批准情况的检查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F2DAA4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【法律】中华人民共和国广告法（中华人民共和国主席令第81号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2021年4月29日第二次修订</w:t>
            </w:r>
            <w:r>
              <w:rPr>
                <w:rFonts w:hint="eastAsia" w:ascii="楷体" w:hAnsi="楷体" w:eastAsia="楷体" w:cs="楷体"/>
                <w:color w:val="000000"/>
                <w:kern w:val="0"/>
                <w:sz w:val="18"/>
                <w:szCs w:val="18"/>
              </w:rPr>
              <w:t>）</w:t>
            </w:r>
          </w:p>
          <w:p w14:paraId="55F384F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第六条  国务院市场监督管理部门主管全国的广告监督管理工作，国务院有关部门在各自的职责范围内负责广告管理相关工作。</w:t>
            </w:r>
          </w:p>
          <w:p w14:paraId="1285D51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县级以上地方市场监督管理部门主管本行政区域的广告监督管理工作，县级以上地方人民政府有关部门在各自的职责范围内负责广告管理相关工作。</w:t>
            </w:r>
          </w:p>
          <w:p w14:paraId="6FE8C56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第四十六条  发布医疗、药品、医疗器械、农药、兽药和保健食品广告，以及法律、行政法规规定应当进行审查的其他广告，应当在发布前由有关部门（以下称广告审查机关）对广告内容进行审查；未经审查，不得发布。</w:t>
            </w:r>
          </w:p>
          <w:p w14:paraId="4CA7EC4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第四十九条第一款第一项  市场监督管理部门履行广告监督管理职责，可以行使下列职权：</w:t>
            </w:r>
          </w:p>
          <w:p w14:paraId="7C8B2D9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（一）对涉嫌从事违法广告活动的场所实施现场检查；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47DEAA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医疗、药品、医疗器械、农药、兽药、保健食品、特殊医学用途配方食品等广告主在发布前依法申请广告审查，无伪造、变造或者转让广告审查批准文件的行为</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197737E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1AFACE2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1900240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2B160B88">
        <w:tblPrEx>
          <w:tblCellMar>
            <w:top w:w="0" w:type="dxa"/>
            <w:left w:w="108" w:type="dxa"/>
            <w:bottom w:w="0" w:type="dxa"/>
            <w:right w:w="108" w:type="dxa"/>
          </w:tblCellMar>
        </w:tblPrEx>
        <w:trPr>
          <w:trHeight w:val="33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4907191">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10</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6BDE2F0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产品质量监督抽查</w:t>
            </w:r>
          </w:p>
        </w:tc>
        <w:tc>
          <w:tcPr>
            <w:tcW w:w="2512" w:type="dxa"/>
            <w:tcBorders>
              <w:top w:val="nil"/>
              <w:left w:val="nil"/>
              <w:bottom w:val="single" w:color="auto" w:sz="4" w:space="0"/>
              <w:right w:val="single" w:color="auto" w:sz="4" w:space="0"/>
            </w:tcBorders>
            <w:shd w:val="clear" w:color="auto" w:fill="auto"/>
            <w:noWrap/>
            <w:vAlign w:val="center"/>
          </w:tcPr>
          <w:p w14:paraId="14EC2B2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【法律】中华人民共和国产品质量法（中华人民共和国主席令第22号）</w:t>
            </w:r>
          </w:p>
          <w:p w14:paraId="5E58588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14:paraId="0AA5C27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第十八条第一项　县级以上市场监督管理部门根据已经取得的违法嫌疑证据或者举报，对涉嫌违反本法规定的行为进行查处时，可以行使下列职权：</w:t>
            </w:r>
          </w:p>
          <w:p w14:paraId="047F8D5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(一)对当事人涉嫌从事违反本法的生产、销售活动的场所实施现场检查；</w:t>
            </w:r>
          </w:p>
        </w:tc>
        <w:tc>
          <w:tcPr>
            <w:tcW w:w="2512" w:type="dxa"/>
            <w:tcBorders>
              <w:top w:val="nil"/>
              <w:left w:val="nil"/>
              <w:bottom w:val="single" w:color="auto" w:sz="4" w:space="0"/>
              <w:right w:val="single" w:color="auto" w:sz="4" w:space="0"/>
            </w:tcBorders>
            <w:shd w:val="clear" w:color="auto" w:fill="auto"/>
            <w:noWrap/>
            <w:vAlign w:val="center"/>
          </w:tcPr>
          <w:p w14:paraId="49B59B0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产品质量应当符合国家法律法规、部门规章以及相关部门对产品质量的具体技术性要求</w:t>
            </w:r>
          </w:p>
        </w:tc>
        <w:tc>
          <w:tcPr>
            <w:tcW w:w="2818" w:type="dxa"/>
            <w:tcBorders>
              <w:top w:val="nil"/>
              <w:left w:val="nil"/>
              <w:bottom w:val="single" w:color="auto" w:sz="4" w:space="0"/>
              <w:right w:val="single" w:color="auto" w:sz="4" w:space="0"/>
            </w:tcBorders>
            <w:shd w:val="clear" w:color="auto" w:fill="auto"/>
            <w:noWrap/>
            <w:vAlign w:val="center"/>
          </w:tcPr>
          <w:p w14:paraId="3B421B1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057F2A1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768DE18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30232F0F">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D917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11</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D49335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食品生产监督检查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4897024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【法律】中华人民共和国食品安全法（中华人民共和国主席令第81号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2021年4月29日第二次修正</w:t>
            </w:r>
            <w:r>
              <w:rPr>
                <w:rFonts w:hint="eastAsia" w:ascii="楷体" w:hAnsi="楷体" w:eastAsia="楷体" w:cs="楷体"/>
                <w:color w:val="000000"/>
                <w:kern w:val="0"/>
                <w:sz w:val="18"/>
                <w:szCs w:val="18"/>
              </w:rPr>
              <w:t>）</w:t>
            </w:r>
          </w:p>
          <w:p w14:paraId="3B61784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第五条  国务院食品安全监督管理部门依照本法和国务院规定的职责，对食品生产经营活动实施监督管理。</w:t>
            </w:r>
          </w:p>
          <w:p w14:paraId="4B1770D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第一百一十条  县级以上人民政府食品安全监督管理部门履行食品安全监督管理职责，有权采取下列措施，对生产经营者遵守本法的情况进行监督检查：</w:t>
            </w:r>
          </w:p>
          <w:p w14:paraId="7E49E26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（一）进入生产经营场所实施现场检查；</w:t>
            </w:r>
          </w:p>
          <w:p w14:paraId="3819363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（二）对生产经营的食品、食品添加剂、食品相关产品进行抽样检验；</w:t>
            </w:r>
          </w:p>
          <w:p w14:paraId="28076CC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（三）查阅、复制有关合同、票据、账簿以及其他有关资料；</w:t>
            </w:r>
          </w:p>
          <w:p w14:paraId="37E2E9A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（四）查封、扣押有证据证明不符合食品安全标准或者有证据证明存在安全隐患以及用于违法生产经营的食品、食品添加剂、食品相关产品；</w:t>
            </w:r>
          </w:p>
          <w:p w14:paraId="550FB96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（五）查封违法从事生产经营活动的场所。</w:t>
            </w:r>
          </w:p>
          <w:p w14:paraId="0297D57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ECAD3E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_GB2312" w:hAnsi="宋体" w:eastAsia="仿宋_GB2312" w:cs="宋体"/>
                <w:color w:val="000000"/>
                <w:kern w:val="0"/>
                <w:sz w:val="21"/>
                <w:szCs w:val="21"/>
              </w:rPr>
            </w:pPr>
            <w:r>
              <w:rPr>
                <w:rFonts w:hint="eastAsia" w:ascii="楷体" w:hAnsi="楷体" w:eastAsia="楷体" w:cs="楷体"/>
                <w:color w:val="000000"/>
                <w:kern w:val="0"/>
                <w:sz w:val="18"/>
                <w:szCs w:val="18"/>
              </w:rPr>
              <w:t>严格执行食品安全法律、法规、规章和食品安全标准</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7854221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仿宋_GB2312" w:hAnsi="宋体" w:eastAsia="仿宋_GB2312" w:cs="宋体"/>
                <w:color w:val="000000"/>
                <w:kern w:val="0"/>
                <w:sz w:val="21"/>
                <w:szCs w:val="21"/>
                <w:lang w:val="en-US"/>
              </w:rPr>
            </w:pPr>
            <w:r>
              <w:rPr>
                <w:rFonts w:hint="eastAsia" w:ascii="仿宋_GB2312" w:hAnsi="宋体" w:eastAsia="仿宋_GB2312" w:cs="宋体"/>
                <w:color w:val="000000"/>
                <w:kern w:val="0"/>
                <w:sz w:val="18"/>
                <w:szCs w:val="18"/>
                <w:lang w:val="en-US" w:eastAsia="zh-CN"/>
              </w:rPr>
              <w:t>1次/月</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4871EE71">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18"/>
                <w:szCs w:val="18"/>
                <w:lang w:val="en-US" w:eastAsia="zh-CN"/>
              </w:rPr>
              <w:t>2次/年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5803F72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_GB2312" w:hAnsi="宋体" w:eastAsia="仿宋_GB2312" w:cs="宋体"/>
                <w:color w:val="000000"/>
                <w:kern w:val="0"/>
                <w:sz w:val="21"/>
                <w:szCs w:val="21"/>
              </w:rPr>
            </w:pPr>
          </w:p>
        </w:tc>
      </w:tr>
      <w:tr w14:paraId="6220579C">
        <w:tblPrEx>
          <w:tblCellMar>
            <w:top w:w="0" w:type="dxa"/>
            <w:left w:w="108" w:type="dxa"/>
            <w:bottom w:w="0" w:type="dxa"/>
            <w:right w:w="108" w:type="dxa"/>
          </w:tblCellMar>
        </w:tblPrEx>
        <w:trPr>
          <w:trHeight w:val="5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8317">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12</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6D2EE0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食品销售监督检查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CD447B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【法律】中华人民共和国食品安全法（中华人民共和国主席令第81号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2021年4月29日第二次修正</w:t>
            </w:r>
            <w:r>
              <w:rPr>
                <w:rFonts w:hint="eastAsia" w:ascii="楷体" w:hAnsi="楷体" w:eastAsia="楷体" w:cs="楷体"/>
                <w:color w:val="000000"/>
                <w:kern w:val="0"/>
                <w:sz w:val="18"/>
                <w:szCs w:val="18"/>
                <w:lang w:val="en-US"/>
              </w:rPr>
              <w:t>）</w:t>
            </w:r>
          </w:p>
          <w:p w14:paraId="0430758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第五条  国务院食品安全监督管理部门依照本法和国务院规定的职责，对食品生产经营活动实施监督管理。</w:t>
            </w:r>
          </w:p>
          <w:p w14:paraId="254E8B1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第一百一十条  县级以上人民政府食品安全监督管理部门履行食品安全监督管理职责，有权采取下列措施，对生产经营者遵守本法的情况进行监督检查：</w:t>
            </w:r>
          </w:p>
          <w:p w14:paraId="5E048CE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（一）进入生产经营场所实施现场检查；</w:t>
            </w:r>
          </w:p>
          <w:p w14:paraId="45D6231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（二）对生产经营的食品、食品添加剂、食品相关产品进行抽样检验；</w:t>
            </w:r>
          </w:p>
          <w:p w14:paraId="019470F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（三）查阅、复制有关合同、票据、账簿以及其他有关资料；</w:t>
            </w:r>
          </w:p>
          <w:p w14:paraId="4384C43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（四）查封、扣押有证据证明不符合食品安全标准或者有证据证明存在安全隐患以及用于违法生产经营的食品、食品添加剂、食品相关产品；</w:t>
            </w:r>
          </w:p>
          <w:p w14:paraId="0EB8672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（五）查封违法从事生产经营活动的场所。</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31E3364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rPr>
              <w:t>主体责任落实到位、经营行为严格规范、食品风险安全可控</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2D5FBAC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1次/月</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0E1A8408">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2次/年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29A7469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rPr>
            </w:pPr>
          </w:p>
        </w:tc>
      </w:tr>
    </w:tbl>
    <w:tbl>
      <w:tblPr>
        <w:tblStyle w:val="2"/>
        <w:tblpPr w:leftFromText="180" w:rightFromText="180" w:vertAnchor="text" w:horzAnchor="page" w:tblpX="871" w:tblpY="108"/>
        <w:tblOverlap w:val="never"/>
        <w:tblW w:w="15101" w:type="dxa"/>
        <w:tblInd w:w="0" w:type="dxa"/>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19A1527D">
        <w:tblPrEx>
          <w:tblCellMar>
            <w:top w:w="0" w:type="dxa"/>
            <w:left w:w="108" w:type="dxa"/>
            <w:bottom w:w="0" w:type="dxa"/>
            <w:right w:w="108" w:type="dxa"/>
          </w:tblCellMar>
        </w:tblPrEx>
        <w:trPr>
          <w:trHeight w:val="1280" w:hRule="atLeast"/>
        </w:trPr>
        <w:tc>
          <w:tcPr>
            <w:tcW w:w="15101" w:type="dxa"/>
            <w:gridSpan w:val="7"/>
            <w:tcBorders>
              <w:top w:val="nil"/>
              <w:left w:val="nil"/>
              <w:bottom w:val="nil"/>
              <w:right w:val="nil"/>
            </w:tcBorders>
            <w:shd w:val="clear" w:color="auto" w:fill="auto"/>
            <w:noWrap/>
            <w:vAlign w:val="center"/>
          </w:tcPr>
          <w:p w14:paraId="12C16835">
            <w:pPr>
              <w:keepNext w:val="0"/>
              <w:keepLines w:val="0"/>
              <w:pageBreakBefore w:val="0"/>
              <w:widowControl/>
              <w:kinsoku/>
              <w:wordWrap/>
              <w:overflowPunct/>
              <w:topLinePunct w:val="0"/>
              <w:autoSpaceDE/>
              <w:autoSpaceDN/>
              <w:bidi w:val="0"/>
              <w:adjustRightInd/>
              <w:snapToGrid/>
              <w:spacing w:line="180" w:lineRule="exact"/>
              <w:jc w:val="both"/>
              <w:textAlignment w:val="auto"/>
              <w:rPr>
                <w:rFonts w:ascii="方正小标宋简体" w:hAnsi="方正小标宋简体" w:eastAsia="方正小标宋简体" w:cs="宋体"/>
                <w:color w:val="000000"/>
                <w:kern w:val="0"/>
                <w:sz w:val="48"/>
                <w:szCs w:val="48"/>
              </w:rPr>
            </w:pPr>
          </w:p>
        </w:tc>
      </w:tr>
      <w:tr w14:paraId="03BCB65E">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5F58FA2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426ED7A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1A68807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818" w:type="dxa"/>
            <w:tcBorders>
              <w:top w:val="nil"/>
              <w:left w:val="nil"/>
              <w:bottom w:val="nil"/>
              <w:right w:val="nil"/>
            </w:tcBorders>
            <w:shd w:val="clear" w:color="auto" w:fill="auto"/>
            <w:noWrap/>
            <w:vAlign w:val="center"/>
          </w:tcPr>
          <w:p w14:paraId="796EF99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3462" w:type="dxa"/>
            <w:gridSpan w:val="2"/>
            <w:tcBorders>
              <w:top w:val="nil"/>
              <w:left w:val="nil"/>
              <w:bottom w:val="single" w:color="auto" w:sz="4" w:space="0"/>
              <w:right w:val="nil"/>
            </w:tcBorders>
            <w:shd w:val="clear" w:color="auto" w:fill="auto"/>
            <w:noWrap/>
            <w:vAlign w:val="center"/>
          </w:tcPr>
          <w:p w14:paraId="417183A6">
            <w:pPr>
              <w:keepNext w:val="0"/>
              <w:keepLines w:val="0"/>
              <w:pageBreakBefore w:val="0"/>
              <w:widowControl/>
              <w:kinsoku/>
              <w:wordWrap/>
              <w:overflowPunct/>
              <w:topLinePunct w:val="0"/>
              <w:autoSpaceDE/>
              <w:autoSpaceDN/>
              <w:bidi w:val="0"/>
              <w:adjustRightInd/>
              <w:snapToGrid/>
              <w:spacing w:line="180" w:lineRule="exac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0EDD8011">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88D411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13</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604A415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对餐饮服务经营者日常经营行为遵守食品安全相关法律法规的检查</w:t>
            </w:r>
          </w:p>
        </w:tc>
        <w:tc>
          <w:tcPr>
            <w:tcW w:w="2512" w:type="dxa"/>
            <w:tcBorders>
              <w:top w:val="nil"/>
              <w:left w:val="nil"/>
              <w:bottom w:val="single" w:color="auto" w:sz="4" w:space="0"/>
              <w:right w:val="single" w:color="auto" w:sz="4" w:space="0"/>
            </w:tcBorders>
            <w:shd w:val="clear" w:color="auto" w:fill="auto"/>
            <w:noWrap/>
            <w:vAlign w:val="center"/>
          </w:tcPr>
          <w:p w14:paraId="2E2CB3C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【法律】中华人民共和国食品安全法（中华人民共和国主席令第81号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2021年4月29日第二次修正</w:t>
            </w:r>
            <w:r>
              <w:rPr>
                <w:rFonts w:hint="eastAsia" w:ascii="楷体" w:hAnsi="楷体" w:eastAsia="楷体" w:cs="楷体"/>
                <w:color w:val="000000"/>
                <w:kern w:val="0"/>
                <w:sz w:val="18"/>
                <w:szCs w:val="18"/>
              </w:rPr>
              <w:t>）</w:t>
            </w:r>
          </w:p>
          <w:p w14:paraId="27FA142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第一百一十条  县级以上人民政府食品安全监督管理部门履行食品安全监督管理职责，有权采取下列措施，对生产经营者遵守本法的情况进行监督检查：</w:t>
            </w:r>
          </w:p>
          <w:p w14:paraId="4996A78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（一）进入生产经营场所实施现场检查；</w:t>
            </w:r>
          </w:p>
          <w:p w14:paraId="770F763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（二）对生产经营的食品、食品添加剂、食品相关产品进行抽样检验；</w:t>
            </w:r>
          </w:p>
          <w:p w14:paraId="6DA3E87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（三）查阅、复制有关合同、票据、账簿以及其他有关资料；</w:t>
            </w:r>
          </w:p>
          <w:p w14:paraId="71889EA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（四）查封、扣押有证据证明不符合食品安全标准或者有证据证明存在安全隐患以及用于违法生产经营的食品、食品添加剂、食品相关产品；</w:t>
            </w:r>
          </w:p>
          <w:p w14:paraId="6FCF714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（五）查封违法从事生产经营活动的场所。</w:t>
            </w:r>
          </w:p>
          <w:p w14:paraId="242153E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【法律】中华人民共和国反食品浪费法（中华人民共和国主席令第78号）</w:t>
            </w:r>
          </w:p>
          <w:p w14:paraId="6866B19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第十七条第一款　各级人民政府及其有关部门应当建立反食品浪费监督检查机制，对发现的食品浪费问题及时督促整改。</w:t>
            </w:r>
          </w:p>
          <w:p w14:paraId="639C1BC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【部门规章】食品生产经营监督检查管理办法（国家市场监督管理总局令第49号）</w:t>
            </w:r>
          </w:p>
          <w:p w14:paraId="549D0441">
            <w:pPr>
              <w:keepNext w:val="0"/>
              <w:keepLines w:val="0"/>
              <w:pageBreakBefore w:val="0"/>
              <w:widowControl/>
              <w:numPr>
                <w:ilvl w:val="0"/>
                <w:numId w:val="3"/>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市场监督管理部门对食品（含食品添加剂）生产经营者执行食品安全法律、法规、规章和食品安全标准等情况实施监督检查，适用本办法。</w:t>
            </w:r>
          </w:p>
        </w:tc>
        <w:tc>
          <w:tcPr>
            <w:tcW w:w="2512" w:type="dxa"/>
            <w:tcBorders>
              <w:top w:val="nil"/>
              <w:left w:val="nil"/>
              <w:bottom w:val="single" w:color="auto" w:sz="4" w:space="0"/>
              <w:right w:val="single" w:color="auto" w:sz="4" w:space="0"/>
            </w:tcBorders>
            <w:shd w:val="clear" w:color="auto" w:fill="auto"/>
            <w:noWrap/>
            <w:vAlign w:val="center"/>
          </w:tcPr>
          <w:p w14:paraId="2963CB5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按照食品安全法律法规规定的要求开展经营行为</w:t>
            </w:r>
          </w:p>
        </w:tc>
        <w:tc>
          <w:tcPr>
            <w:tcW w:w="2818" w:type="dxa"/>
            <w:tcBorders>
              <w:top w:val="nil"/>
              <w:left w:val="nil"/>
              <w:bottom w:val="single" w:color="auto" w:sz="4" w:space="0"/>
              <w:right w:val="single" w:color="auto" w:sz="4" w:space="0"/>
            </w:tcBorders>
            <w:shd w:val="clear" w:color="auto" w:fill="auto"/>
            <w:noWrap/>
            <w:vAlign w:val="center"/>
          </w:tcPr>
          <w:p w14:paraId="4E3A138E">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1次/月</w:t>
            </w:r>
          </w:p>
        </w:tc>
        <w:tc>
          <w:tcPr>
            <w:tcW w:w="2177" w:type="dxa"/>
            <w:tcBorders>
              <w:top w:val="nil"/>
              <w:left w:val="nil"/>
              <w:bottom w:val="single" w:color="auto" w:sz="4" w:space="0"/>
              <w:right w:val="single" w:color="auto" w:sz="4" w:space="0"/>
            </w:tcBorders>
            <w:shd w:val="clear" w:color="auto" w:fill="auto"/>
            <w:noWrap/>
            <w:vAlign w:val="center"/>
          </w:tcPr>
          <w:p w14:paraId="1C7C373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1285" w:type="dxa"/>
            <w:tcBorders>
              <w:top w:val="nil"/>
              <w:left w:val="nil"/>
              <w:bottom w:val="single" w:color="auto" w:sz="4" w:space="0"/>
              <w:right w:val="single" w:color="auto" w:sz="4" w:space="0"/>
            </w:tcBorders>
            <w:shd w:val="clear" w:color="auto" w:fill="auto"/>
            <w:noWrap/>
            <w:vAlign w:val="center"/>
          </w:tcPr>
          <w:p w14:paraId="4CFACB5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0CBCA0A2">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C863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14</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0B539CF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对化妆品经营企业的检查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A47A2C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【行政法规】化妆品监督管理条例（中华人民共和国国务院令第727号）</w:t>
            </w:r>
          </w:p>
          <w:p w14:paraId="53C6447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第五条  国务院药品监督管理部门负责全国化妆品监督管理工作。国务院有关部门在各自职责范围内负责与化妆品有关的监督管理工作。</w:t>
            </w:r>
          </w:p>
          <w:p w14:paraId="0FB05EB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县级以上地方人民政府负责药品监督管理的部门负责本行政区域的化妆品监督管理工作。县级以上地方人民政府有关部门在各自职责范围内负责与化妆品有关的监督管理工作。</w:t>
            </w:r>
          </w:p>
          <w:p w14:paraId="1F51995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【部门规章】化妆品生产经营监督管理办法（国家市场监督管理总局令第46号）</w:t>
            </w:r>
          </w:p>
          <w:p w14:paraId="7CE8586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第三条  国家药品监督管理局负责全国化妆品监督管理工作。</w:t>
            </w:r>
          </w:p>
          <w:p w14:paraId="7876B40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县级以上地方人民政府负责药品监督管理的部门负责本行政区域的化妆品监督管理工作。</w:t>
            </w:r>
          </w:p>
          <w:p w14:paraId="54C0F87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p w14:paraId="07B6CDE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6A427CE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严格执行化妆品安全法律、法规、规章和相关国家标准</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6B749B71">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0AC6E05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139575C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4EFFB536">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53B9">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15</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23C9A1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食品、药品、医疗器械安全监督抽查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65BF7A2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【法律】中华人民共和国食品安全法（中华人民共和国主席令第81号</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2021年4月29日第二次修正</w:t>
            </w:r>
            <w:r>
              <w:rPr>
                <w:rFonts w:hint="eastAsia" w:ascii="楷体" w:hAnsi="楷体" w:eastAsia="楷体" w:cs="楷体"/>
                <w:color w:val="000000"/>
                <w:kern w:val="0"/>
                <w:sz w:val="18"/>
                <w:szCs w:val="18"/>
              </w:rPr>
              <w:t>）</w:t>
            </w:r>
          </w:p>
          <w:p w14:paraId="0EC5158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14:paraId="1AD864B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【法律】中华人民共和国药品管理法（中华人民共和国主席令第31号）</w:t>
            </w:r>
          </w:p>
          <w:p w14:paraId="0DA2385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第六十四条  口岸所在地药品监督管理部门应当通知药品检验机构按照国务院药品监督管理部门的规定对进口药品进行抽查检验。</w:t>
            </w:r>
          </w:p>
          <w:p w14:paraId="47FFCB2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第一百零一条  国务院和省、自治区、直辖市人民政府的药品监督管理部门应当定期公告药品质量抽查检验结果；公告不当的，应当在原公告范围内予以更正。</w:t>
            </w:r>
          </w:p>
          <w:p w14:paraId="289F5BF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【行政法规】医疗器械监督管理条例(中华人民共和国国务院令第276号)</w:t>
            </w:r>
          </w:p>
          <w:p w14:paraId="7761FA0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第七十五条第二款  负责药品监督管理的部门在执法工作中需要对医疗器械进行检验的，应当委托有资质的医疗器械检验机构进行，并支付相关费用。</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66D84ED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食品药品质量</w:t>
            </w:r>
          </w:p>
          <w:p w14:paraId="0747F8F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符合安全标准</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0FB3957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各2次/年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702D71A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各1次/年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48C0BDB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128FAD03">
        <w:tblPrEx>
          <w:tblCellMar>
            <w:top w:w="0" w:type="dxa"/>
            <w:left w:w="108" w:type="dxa"/>
            <w:bottom w:w="0" w:type="dxa"/>
            <w:right w:w="108" w:type="dxa"/>
          </w:tblCellMar>
        </w:tblPrEx>
        <w:trPr>
          <w:trHeight w:val="33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7B45D39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16</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5A96DC2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对特种设备使用单位的监督检查</w:t>
            </w:r>
          </w:p>
        </w:tc>
        <w:tc>
          <w:tcPr>
            <w:tcW w:w="2512" w:type="dxa"/>
            <w:tcBorders>
              <w:top w:val="nil"/>
              <w:left w:val="nil"/>
              <w:bottom w:val="single" w:color="auto" w:sz="4" w:space="0"/>
              <w:right w:val="single" w:color="auto" w:sz="4" w:space="0"/>
            </w:tcBorders>
            <w:shd w:val="clear" w:color="auto" w:fill="auto"/>
            <w:noWrap/>
            <w:vAlign w:val="center"/>
          </w:tcPr>
          <w:p w14:paraId="13DC771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【法律】中华人民共和国特种设备安全法（中华人民共和国主席令第4号）</w:t>
            </w:r>
          </w:p>
          <w:p w14:paraId="0B2A6E0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第五十七条第一款  负责特种设备安全监督管理的部门依照本法规定，对特种设备生产、经营、使用单位和检验、检测机构实施监督检查。</w:t>
            </w:r>
          </w:p>
          <w:p w14:paraId="5FBD809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【行政法规】特种设备安全监察条例（中华人民共和国国务院令第549号）</w:t>
            </w:r>
          </w:p>
          <w:p w14:paraId="38C54F5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第五十条第一款  特种设备安全监督管理部门依照本条例规定，对特种设备生产、使用单位和检验检测机构实施安全监察。</w:t>
            </w:r>
          </w:p>
        </w:tc>
        <w:tc>
          <w:tcPr>
            <w:tcW w:w="2512" w:type="dxa"/>
            <w:tcBorders>
              <w:top w:val="nil"/>
              <w:left w:val="nil"/>
              <w:bottom w:val="single" w:color="auto" w:sz="4" w:space="0"/>
              <w:right w:val="single" w:color="auto" w:sz="4" w:space="0"/>
            </w:tcBorders>
            <w:shd w:val="clear" w:color="auto" w:fill="auto"/>
            <w:noWrap/>
            <w:vAlign w:val="center"/>
          </w:tcPr>
          <w:p w14:paraId="3018C3F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1.设备办理使用登记；</w:t>
            </w:r>
          </w:p>
          <w:p w14:paraId="7E6A85E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2.所抽查设备及安全附件在检验有效期；</w:t>
            </w:r>
          </w:p>
          <w:p w14:paraId="495F2B1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3.按要求建立设备档案且档案齐全；</w:t>
            </w:r>
          </w:p>
          <w:p w14:paraId="5EB3D9E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4.所抽查设备按要求进行经常性维护保养或者定期自行检查并有记录；</w:t>
            </w:r>
          </w:p>
          <w:p w14:paraId="6B408E7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5.有设备故障、异常情况处理记录；</w:t>
            </w:r>
          </w:p>
          <w:p w14:paraId="4E23BCD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6.有事故隐患排查和整治记录；</w:t>
            </w:r>
          </w:p>
          <w:p w14:paraId="091A248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7.安全管理人员和作业人员证件在有效期内，项目符合要求并办理聘用手续；</w:t>
            </w:r>
          </w:p>
          <w:p w14:paraId="36D167B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8.有特种设备作业人员培训考核记录；</w:t>
            </w:r>
          </w:p>
          <w:p w14:paraId="1690859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9.按规定设置安全管理机构或配备专兼职安全管理人员，并书面任命安全责任人；</w:t>
            </w:r>
          </w:p>
          <w:p w14:paraId="3F8E69C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10.建立并实施安全管理制度和操作规程；</w:t>
            </w:r>
          </w:p>
          <w:p w14:paraId="06C84B1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11.制定事故应急(专项)预案并有演练记录。　</w:t>
            </w:r>
          </w:p>
        </w:tc>
        <w:tc>
          <w:tcPr>
            <w:tcW w:w="2818" w:type="dxa"/>
            <w:tcBorders>
              <w:top w:val="nil"/>
              <w:left w:val="nil"/>
              <w:bottom w:val="single" w:color="auto" w:sz="4" w:space="0"/>
              <w:right w:val="single" w:color="auto" w:sz="4" w:space="0"/>
            </w:tcBorders>
            <w:shd w:val="clear" w:color="auto" w:fill="auto"/>
            <w:noWrap/>
            <w:vAlign w:val="center"/>
          </w:tcPr>
          <w:p w14:paraId="15EE7D1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1次/月</w:t>
            </w:r>
          </w:p>
        </w:tc>
        <w:tc>
          <w:tcPr>
            <w:tcW w:w="2177" w:type="dxa"/>
            <w:tcBorders>
              <w:top w:val="nil"/>
              <w:left w:val="nil"/>
              <w:bottom w:val="single" w:color="auto" w:sz="4" w:space="0"/>
              <w:right w:val="single" w:color="auto" w:sz="4" w:space="0"/>
            </w:tcBorders>
            <w:shd w:val="clear" w:color="auto" w:fill="auto"/>
            <w:noWrap/>
            <w:vAlign w:val="center"/>
          </w:tcPr>
          <w:p w14:paraId="633E857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1285" w:type="dxa"/>
            <w:tcBorders>
              <w:top w:val="nil"/>
              <w:left w:val="nil"/>
              <w:bottom w:val="single" w:color="auto" w:sz="4" w:space="0"/>
              <w:right w:val="single" w:color="auto" w:sz="4" w:space="0"/>
            </w:tcBorders>
            <w:shd w:val="clear" w:color="auto" w:fill="auto"/>
            <w:noWrap/>
            <w:vAlign w:val="center"/>
          </w:tcPr>
          <w:p w14:paraId="4423D89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3544633E">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1C1C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17</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4E0C961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对计量标准器具出具的数据是否准确可靠的检查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D8A97F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【法律】中华人民共和国计量法（中华人民共和国主席令第16号）</w:t>
            </w:r>
          </w:p>
          <w:p w14:paraId="550A1D0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  县级以上人民政府计量行政部门应当依法对制造、修理、销售、进口和使用计量器具，以及计量检定等相关计量活动进行监督检查。有关单位和个人不得拒绝、阻挠。</w:t>
            </w:r>
          </w:p>
          <w:p w14:paraId="4F92B5A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【行政法规】中华人民共和国计量法实施细则（中华人民共和国国务院令第752号）</w:t>
            </w:r>
          </w:p>
          <w:p w14:paraId="0B1FC4E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第二十三条第五项　国务院计量行政部门和县级以上地方人民政府计量行政部门监督和贯彻实施计量法律、法规的职责是：（五）监督检查计量法律、法规的实施情况，对违反计量法律、法规的行为，按照本细则的有关规定进行处理。</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42E7539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有完善的管理制度；计量标准器具经有关计量行政部门主持考核并合格；</w:t>
            </w:r>
          </w:p>
          <w:p w14:paraId="3EF743E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计量标准器具定期检定合格；</w:t>
            </w:r>
          </w:p>
          <w:p w14:paraId="3B5B062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有正常工作所需要的环境条件；</w:t>
            </w:r>
          </w:p>
          <w:p w14:paraId="6749D99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检测人员经过相应的专业项目培训；</w:t>
            </w:r>
          </w:p>
          <w:p w14:paraId="0A17B5F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无出具虚假报告现象。</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6626FC8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266FA1E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6CCAF13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6B17D6A9">
        <w:tblPrEx>
          <w:tblCellMar>
            <w:top w:w="0" w:type="dxa"/>
            <w:left w:w="108" w:type="dxa"/>
            <w:bottom w:w="0" w:type="dxa"/>
            <w:right w:w="108" w:type="dxa"/>
          </w:tblCellMar>
        </w:tblPrEx>
        <w:trPr>
          <w:trHeight w:val="5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4EFB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18</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0D7015C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在用强制检定计量器具监督检查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3C16060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【法律】中华人民共和国计量法（中华人民共和国主席令第16号）</w:t>
            </w:r>
          </w:p>
          <w:p w14:paraId="5A9AAB9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p w14:paraId="3997F35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  县级以上人民政府计量行政部门应当依法对制造、修理、销售、进口和使用计量器具，以及计量检定等相关计量活动进行监督检查。有关单位和个人不得拒绝、阻挠。</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F6A37D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计量管理制度健全，器具台帐齐全；强检计量器具周期检定，张贴检定合格标识，并在有效期范围内；</w:t>
            </w:r>
          </w:p>
          <w:p w14:paraId="1E48A2B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器具计量准确，无破坏器具准确度的行为；</w:t>
            </w:r>
          </w:p>
          <w:p w14:paraId="63D379C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不使用未经检定、超过检定周期或经计量检定不合格的计量器具；</w:t>
            </w:r>
          </w:p>
          <w:p w14:paraId="448A4C3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不使用非法定计量单位。</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323CDE1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5A3EFF7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190C947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bl>
    <w:tbl>
      <w:tblPr>
        <w:tblStyle w:val="2"/>
        <w:tblpPr w:leftFromText="180" w:rightFromText="180" w:vertAnchor="text" w:horzAnchor="page" w:tblpX="857" w:tblpY="124"/>
        <w:tblOverlap w:val="never"/>
        <w:tblW w:w="15101" w:type="dxa"/>
        <w:tblInd w:w="0" w:type="dxa"/>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6AC1C4B5">
        <w:tblPrEx>
          <w:tblCellMar>
            <w:top w:w="0" w:type="dxa"/>
            <w:left w:w="108" w:type="dxa"/>
            <w:bottom w:w="0" w:type="dxa"/>
            <w:right w:w="108" w:type="dxa"/>
          </w:tblCellMar>
        </w:tblPrEx>
        <w:trPr>
          <w:trHeight w:val="1280" w:hRule="atLeast"/>
        </w:trPr>
        <w:tc>
          <w:tcPr>
            <w:tcW w:w="15101" w:type="dxa"/>
            <w:gridSpan w:val="7"/>
            <w:tcBorders>
              <w:top w:val="nil"/>
              <w:left w:val="nil"/>
              <w:bottom w:val="nil"/>
              <w:right w:val="nil"/>
            </w:tcBorders>
            <w:shd w:val="clear" w:color="auto" w:fill="auto"/>
            <w:noWrap/>
            <w:vAlign w:val="center"/>
          </w:tcPr>
          <w:p w14:paraId="6D54065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方正小标宋简体" w:hAnsi="方正小标宋简体" w:eastAsia="方正小标宋简体" w:cs="宋体"/>
                <w:color w:val="000000"/>
                <w:kern w:val="0"/>
                <w:sz w:val="48"/>
                <w:szCs w:val="48"/>
              </w:rPr>
            </w:pPr>
          </w:p>
        </w:tc>
      </w:tr>
      <w:tr w14:paraId="3C800251">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4497D967">
            <w:pPr>
              <w:keepNext w:val="0"/>
              <w:keepLines w:val="0"/>
              <w:pageBreakBefore w:val="0"/>
              <w:widowControl/>
              <w:kinsoku/>
              <w:wordWrap/>
              <w:overflowPunct/>
              <w:topLinePunct w:val="0"/>
              <w:autoSpaceDE/>
              <w:autoSpaceDN/>
              <w:bidi w:val="0"/>
              <w:adjustRightInd/>
              <w:snapToGrid/>
              <w:spacing w:line="180" w:lineRule="exact"/>
              <w:ind w:firstLine="800" w:firstLineChars="250"/>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515F924B">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3C082C0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2818" w:type="dxa"/>
            <w:tcBorders>
              <w:top w:val="nil"/>
              <w:left w:val="nil"/>
              <w:bottom w:val="nil"/>
              <w:right w:val="nil"/>
            </w:tcBorders>
            <w:shd w:val="clear" w:color="auto" w:fill="auto"/>
            <w:noWrap/>
            <w:vAlign w:val="center"/>
          </w:tcPr>
          <w:p w14:paraId="2580745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仿宋_GB2312" w:hAnsi="宋体" w:eastAsia="仿宋_GB2312" w:cs="宋体"/>
                <w:color w:val="000000"/>
                <w:kern w:val="0"/>
                <w:sz w:val="32"/>
                <w:szCs w:val="32"/>
              </w:rPr>
            </w:pPr>
          </w:p>
        </w:tc>
        <w:tc>
          <w:tcPr>
            <w:tcW w:w="3462" w:type="dxa"/>
            <w:gridSpan w:val="2"/>
            <w:tcBorders>
              <w:top w:val="nil"/>
              <w:left w:val="nil"/>
              <w:bottom w:val="single" w:color="auto" w:sz="4" w:space="0"/>
              <w:right w:val="nil"/>
            </w:tcBorders>
            <w:shd w:val="clear" w:color="auto" w:fill="auto"/>
            <w:noWrap/>
            <w:vAlign w:val="center"/>
          </w:tcPr>
          <w:p w14:paraId="7DA79765">
            <w:pPr>
              <w:keepNext w:val="0"/>
              <w:keepLines w:val="0"/>
              <w:pageBreakBefore w:val="0"/>
              <w:widowControl/>
              <w:kinsoku/>
              <w:wordWrap/>
              <w:overflowPunct/>
              <w:topLinePunct w:val="0"/>
              <w:autoSpaceDE/>
              <w:autoSpaceDN/>
              <w:bidi w:val="0"/>
              <w:adjustRightInd/>
              <w:snapToGrid/>
              <w:spacing w:line="180" w:lineRule="exac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5E03478D">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002E3EF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19</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0487956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对强制性产品认证、检验检测活动及结果的合规性、有效性的检查</w:t>
            </w:r>
          </w:p>
        </w:tc>
        <w:tc>
          <w:tcPr>
            <w:tcW w:w="2512" w:type="dxa"/>
            <w:tcBorders>
              <w:top w:val="nil"/>
              <w:left w:val="nil"/>
              <w:bottom w:val="single" w:color="auto" w:sz="4" w:space="0"/>
              <w:right w:val="single" w:color="auto" w:sz="4" w:space="0"/>
            </w:tcBorders>
            <w:shd w:val="clear" w:color="auto" w:fill="auto"/>
            <w:noWrap/>
            <w:vAlign w:val="center"/>
          </w:tcPr>
          <w:p w14:paraId="2A48B09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【行政法规】中华人民共和国认证认可条例（中华人民共和国国务院令第764号）</w:t>
            </w:r>
          </w:p>
          <w:p w14:paraId="766EA1D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第五十四条第一款　县级以上地方人民政府市场监督管理部门在国务院认证认可监督管理部门的授权范围内，依照本条例的规定对认证活动实施监督管理。</w:t>
            </w:r>
          </w:p>
          <w:p w14:paraId="4CF874B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【部门规章】强制性产品认证管理规定（国家市场监督管理总局令第61号）</w:t>
            </w:r>
          </w:p>
          <w:p w14:paraId="2E9F22E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第三十七条第一款　县级以上地方市场监督管理部门负责对所辖区域内强制性产品认证活动实施监督检查，对违法行为进行查处。</w:t>
            </w:r>
          </w:p>
        </w:tc>
        <w:tc>
          <w:tcPr>
            <w:tcW w:w="2512" w:type="dxa"/>
            <w:tcBorders>
              <w:top w:val="nil"/>
              <w:left w:val="nil"/>
              <w:bottom w:val="single" w:color="auto" w:sz="4" w:space="0"/>
              <w:right w:val="single" w:color="auto" w:sz="4" w:space="0"/>
            </w:tcBorders>
            <w:shd w:val="clear" w:color="auto" w:fill="auto"/>
            <w:noWrap/>
            <w:vAlign w:val="center"/>
          </w:tcPr>
          <w:p w14:paraId="0D8918E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列入强制性产品认证目录的产品的生产者或者销售者、进口商应委托经国家认监委指定的认证机构进行认证；</w:t>
            </w:r>
          </w:p>
          <w:p w14:paraId="3680632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生产企业应按照国家标准和认证规则要求组织生产，持续保持质量保证能力符合要求；</w:t>
            </w:r>
          </w:p>
          <w:p w14:paraId="05E8D0A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列入目录产品的销售者、经营活动的使用者应建立并执行进货检查验收制度，验明强制性产品认证证书、产品合格证明和其他标识。　</w:t>
            </w:r>
          </w:p>
        </w:tc>
        <w:tc>
          <w:tcPr>
            <w:tcW w:w="2818" w:type="dxa"/>
            <w:tcBorders>
              <w:top w:val="nil"/>
              <w:left w:val="nil"/>
              <w:bottom w:val="single" w:color="auto" w:sz="4" w:space="0"/>
              <w:right w:val="single" w:color="auto" w:sz="4" w:space="0"/>
            </w:tcBorders>
            <w:shd w:val="clear" w:color="auto" w:fill="auto"/>
            <w:noWrap/>
            <w:vAlign w:val="center"/>
          </w:tcPr>
          <w:p w14:paraId="2339C42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199E9877">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78D84EC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5F8BBF61">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FBB0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20</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182FE96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对专利证书、专利文件或专利申请文件真实性的检查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CB8397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【法律】中华人民共和国专利法（中华人民共和国主席令第55号）</w:t>
            </w:r>
          </w:p>
          <w:p w14:paraId="10DD081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第六十九条第一款　负责专利执法的部门根据已经取得的证据，对涉嫌假冒专利行为进行查处时，有权采取下列措施：</w:t>
            </w:r>
          </w:p>
          <w:p w14:paraId="021E334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（一）询问有关当事人，调查与涉嫌违法行为有关的情况；</w:t>
            </w:r>
          </w:p>
          <w:p w14:paraId="3A37643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（二）对当事人涉嫌违法行为的场所实施现场检查；</w:t>
            </w:r>
          </w:p>
          <w:p w14:paraId="7ACF678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（三）查阅、复制与涉嫌违法行为有关的合同、发票、账簿以及其他有关资料；</w:t>
            </w:r>
          </w:p>
          <w:p w14:paraId="13D75F5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（四）检查与涉嫌违法行为有关的产品；</w:t>
            </w:r>
          </w:p>
          <w:p w14:paraId="1CFD193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eastAsia="zh-CN"/>
              </w:rPr>
              <w:t>　　（五）对有证据证明是假冒专利的产品，可以查封或者扣押。</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237212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核实专利证书、专利文件应当真实、有效</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160E574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099F8BA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654AEAF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419BE3A3">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7461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21</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2D6CF01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对集体商标、证明商标等商标（含地理标志）使用行为的检查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BE8343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 中华人民共和国商标法 （中华人民共和国主席令第29号）</w:t>
            </w:r>
          </w:p>
          <w:p w14:paraId="59DAADF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第六十二条第一款　县级以上工商行政管理部门根据已经取得的违法嫌疑证据或者举报，对涉嫌侵犯他人注册商标专用权的行为进行查处时，可以行使下列职权：</w:t>
            </w:r>
          </w:p>
          <w:p w14:paraId="729F112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（一）询问有关当事人，调查与侵犯他人注册商标专用权有关的情况；</w:t>
            </w:r>
          </w:p>
          <w:p w14:paraId="7A2DBD9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（二）查阅、复制当事人与侵权活动有关的合同、发票、账簿以及其他有关资料；</w:t>
            </w:r>
          </w:p>
          <w:p w14:paraId="12ED76C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（三）对当事人涉嫌从事侵犯他人注册商标专用权活动的场所实施现场检查；</w:t>
            </w:r>
          </w:p>
          <w:p w14:paraId="6DA6A3E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（四）检查与侵权活动有关的物品；对有证据证明是侵犯他人注册商标专用权的物品，可以查封或者扣押。</w:t>
            </w:r>
          </w:p>
          <w:p w14:paraId="35A2E7E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【部门规章】地理标志产品保护办法</w:t>
            </w:r>
          </w:p>
          <w:p w14:paraId="68907FD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第五条第二款  地方知识产权管理部门负责本行政区域内的地理标志产品以及专用标志的管理和保护工作。</w:t>
            </w:r>
          </w:p>
          <w:p w14:paraId="6108E44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p w14:paraId="19F8B69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p w14:paraId="22E68D4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0CE4BB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集体商标、证明商标等商标（含地理标志）使用行为应符合《商标法》《地理标志产品保护办法》等规定</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6B4DC20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7FC01298">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7FFA7C8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p>
        </w:tc>
      </w:tr>
      <w:tr w14:paraId="2CB1FD04">
        <w:tblPrEx>
          <w:tblCellMar>
            <w:top w:w="0" w:type="dxa"/>
            <w:left w:w="108" w:type="dxa"/>
            <w:bottom w:w="0" w:type="dxa"/>
            <w:right w:w="108" w:type="dxa"/>
          </w:tblCellMar>
        </w:tblPrEx>
        <w:trPr>
          <w:trHeight w:val="33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5D3A6D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22</w:t>
            </w:r>
          </w:p>
        </w:tc>
        <w:tc>
          <w:tcPr>
            <w:tcW w:w="2789" w:type="dxa"/>
            <w:tcBorders>
              <w:top w:val="nil"/>
              <w:left w:val="nil"/>
              <w:bottom w:val="single" w:color="auto" w:sz="4" w:space="0"/>
              <w:right w:val="single" w:color="auto" w:sz="4" w:space="0"/>
            </w:tcBorders>
            <w:shd w:val="clear" w:color="auto" w:fill="auto"/>
            <w:noWrap/>
            <w:vAlign w:val="center"/>
          </w:tcPr>
          <w:p w14:paraId="64BFF2C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对医疗机构的检查</w:t>
            </w:r>
          </w:p>
        </w:tc>
        <w:tc>
          <w:tcPr>
            <w:tcW w:w="2512" w:type="dxa"/>
            <w:tcBorders>
              <w:top w:val="nil"/>
              <w:left w:val="nil"/>
              <w:bottom w:val="single" w:color="auto" w:sz="4" w:space="0"/>
              <w:right w:val="single" w:color="auto" w:sz="4" w:space="0"/>
            </w:tcBorders>
            <w:shd w:val="clear" w:color="auto" w:fill="auto"/>
            <w:noWrap/>
            <w:vAlign w:val="center"/>
          </w:tcPr>
          <w:p w14:paraId="00ADDDA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【法律】中华人民共和国药品管理法（中华人民共和国主席令第31号）</w:t>
            </w:r>
          </w:p>
          <w:p w14:paraId="571DD00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第九十九条第一款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14:paraId="635BE7E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【法律】中华人民共和国中医药法（中华人民共和国主席令第59号）</w:t>
            </w:r>
          </w:p>
          <w:p w14:paraId="201D3FD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第三十二条第二款  医疗机构应当加强对备案的中药制剂品种的不良反应监测，并按照国家有关规定进行报告。药品监督管理部门应当加强对备案的中药制剂品种配制、使用的监督检查。</w:t>
            </w:r>
          </w:p>
          <w:p w14:paraId="0B020AA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【行政法规】中华人民共和国药品管理法实施条例（中华人民共和国国务院令第709号）</w:t>
            </w:r>
          </w:p>
          <w:p w14:paraId="215E110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第二十四条  医疗机构配制的制剂不得在市场上销售或者变相销售，不得发布医疗机构制剂广告。</w:t>
            </w:r>
          </w:p>
          <w:p w14:paraId="076D0C1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发生灾情、疫情、突发事件或者临床急需而市场没有供应时，经国务院或者省、自治区、直辖市人民政府的药品监督管理部门批准，在规定期限内，医疗机构配制的制剂可以在指定的医疗机构之间调剂使用。</w:t>
            </w:r>
          </w:p>
          <w:p w14:paraId="305023E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国务院药品监督管理部门规定的特殊制剂的调剂使用以及省、自治区、直辖市之间医疗机构制剂的调剂使用，必须经国务院药品监督管理部门批准。</w:t>
            </w:r>
          </w:p>
          <w:p w14:paraId="7DCF9A1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第五十一条  药品监督管理部门（含省级人民政府药品监督管理部门依法设立的药品监督管理机构，下同）依法对药品的研制、生产、经营、使用实施监督检查。</w:t>
            </w:r>
          </w:p>
        </w:tc>
        <w:tc>
          <w:tcPr>
            <w:tcW w:w="2512" w:type="dxa"/>
            <w:tcBorders>
              <w:top w:val="nil"/>
              <w:left w:val="nil"/>
              <w:bottom w:val="single" w:color="auto" w:sz="4" w:space="0"/>
              <w:right w:val="single" w:color="auto" w:sz="4" w:space="0"/>
            </w:tcBorders>
            <w:shd w:val="clear" w:color="auto" w:fill="auto"/>
            <w:noWrap/>
            <w:vAlign w:val="center"/>
          </w:tcPr>
          <w:p w14:paraId="6F7F3ED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符合《药品管理法》的要求；符合医疗机构药品购进验收管理、药品储存保管管理、特殊药品管理情况、药品质量管理等要求</w:t>
            </w:r>
          </w:p>
          <w:p w14:paraId="1040DB6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2818" w:type="dxa"/>
            <w:tcBorders>
              <w:top w:val="nil"/>
              <w:left w:val="nil"/>
              <w:bottom w:val="single" w:color="auto" w:sz="4" w:space="0"/>
              <w:right w:val="single" w:color="auto" w:sz="4" w:space="0"/>
            </w:tcBorders>
            <w:shd w:val="clear" w:color="auto" w:fill="auto"/>
            <w:noWrap/>
            <w:vAlign w:val="center"/>
          </w:tcPr>
          <w:p w14:paraId="09497798">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24980DBE">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00DDF28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0C44686A">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3567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23</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2E931A5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对医疗器械使用质量的检查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B0AB9F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【部门规章】医疗器械使用质量监督管理办法（中华人民共和国国家食品药品监督管理总局令第18号）</w:t>
            </w:r>
          </w:p>
          <w:p w14:paraId="024E74D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第三条  国家食品药品监督管理总局负责全国医疗器械使用质量监督管理工作。县级以上地方食品药品监督管理部门负责本行政区域的医疗器械使用质量监督管理工作。</w:t>
            </w:r>
          </w:p>
          <w:p w14:paraId="44B4D69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上级食品药品监督管理部门负责指导和监督下级食品药品监督管理部门开展医疗器械使用质量监督管理工作。</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5042B12">
            <w:pPr>
              <w:widowControl/>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符合《医疗器械监督管理条例》《医疗器械使用质量监督管理办法》《医疗器械冷链(运输、贮存)管理指南》等相关要求</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1016F5D9">
            <w:pPr>
              <w:widowControl/>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6591A8F5">
            <w:pPr>
              <w:widowControl/>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2E3899F8">
            <w:pPr>
              <w:widowControl/>
              <w:jc w:val="center"/>
              <w:rPr>
                <w:rFonts w:hint="eastAsia" w:ascii="楷体" w:hAnsi="楷体" w:eastAsia="楷体" w:cs="楷体"/>
                <w:color w:val="000000"/>
                <w:kern w:val="0"/>
                <w:sz w:val="18"/>
                <w:szCs w:val="18"/>
              </w:rPr>
            </w:pPr>
          </w:p>
        </w:tc>
      </w:tr>
      <w:tr w14:paraId="28F95498">
        <w:tblPrEx>
          <w:tblCellMar>
            <w:top w:w="0" w:type="dxa"/>
            <w:left w:w="108" w:type="dxa"/>
            <w:bottom w:w="0" w:type="dxa"/>
            <w:right w:w="108" w:type="dxa"/>
          </w:tblCellMar>
        </w:tblPrEx>
        <w:trPr>
          <w:trHeight w:val="5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8C96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24</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34CC8F2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对药品零售企业（包括零售药店（含连锁门店））的检查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70A51E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【法律】中华人民共和国药品管理法（中华人民共和国主席令第31号）</w:t>
            </w:r>
          </w:p>
          <w:p w14:paraId="1BCFD58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第十五条第二款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14:paraId="73CCE5F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第九十九条第一款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14:paraId="5A45445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【行政法规】中华人民共和国药品管理法实施条例（中华人民共和国国务院令第709号）</w:t>
            </w:r>
          </w:p>
          <w:p w14:paraId="07B71CB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第五十一条  药品监督管理部门（含省级人民政府药品监督管理部门依法设立的药品监督管理机构，下同）依法对药品的研制、生产、经营、使用实施监督检查。</w:t>
            </w:r>
          </w:p>
          <w:p w14:paraId="0A17D70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【行政法规】麻醉药品和精神药品管理条例（中华人民共和国国务院令第666号）</w:t>
            </w:r>
          </w:p>
          <w:p w14:paraId="1953EE8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第五十七条  药品监督管理部门应当根据规定的职责权限，对麻醉药品药用原植物的种植以及麻醉药品和精神药品的实验研究、生产、经营、使用、储存、运输活动进行监督检查。</w:t>
            </w:r>
          </w:p>
          <w:p w14:paraId="29D4141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【行政法规】反兴奋剂条例（中华人民共和国国务院令第703号）</w:t>
            </w:r>
          </w:p>
          <w:p w14:paraId="25EA160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第四条第二款  县级以上人民政府负责药品监督管理的部门和卫生、教育等有关部门，在各自职责范围内依照本条例和有关法律、行政法规的规定负责反兴奋剂工作。</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22D23B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符合GSP要求；</w:t>
            </w:r>
          </w:p>
          <w:p w14:paraId="57A95DC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执业药业具有执业药师注册证，营业时间内，执业药师不在岗时，应当挂牌告知。经执业药师审核，方可销售处方药；</w:t>
            </w:r>
          </w:p>
          <w:p w14:paraId="614B160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第二类精神药品零售购进渠道合法，建立特殊药品管理制度，由专人负责管理，药品实行专柜存放、双人双锁、专账记录，账物相符；</w:t>
            </w:r>
          </w:p>
          <w:p w14:paraId="2C37654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药品零售企业不得经营蛋白同化制剂、肽类激素。</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34E28798">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1次/月</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3472A0B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3A8FD28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bl>
    <w:tbl>
      <w:tblPr>
        <w:tblStyle w:val="2"/>
        <w:tblpPr w:leftFromText="180" w:rightFromText="180" w:vertAnchor="text" w:horzAnchor="page" w:tblpX="803" w:tblpY="50"/>
        <w:tblOverlap w:val="never"/>
        <w:tblW w:w="15101" w:type="dxa"/>
        <w:tblInd w:w="0" w:type="dxa"/>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21C52DFD">
        <w:tblPrEx>
          <w:tblCellMar>
            <w:top w:w="0" w:type="dxa"/>
            <w:left w:w="108" w:type="dxa"/>
            <w:bottom w:w="0" w:type="dxa"/>
            <w:right w:w="108" w:type="dxa"/>
          </w:tblCellMar>
        </w:tblPrEx>
        <w:trPr>
          <w:trHeight w:val="1280" w:hRule="atLeast"/>
        </w:trPr>
        <w:tc>
          <w:tcPr>
            <w:tcW w:w="15101" w:type="dxa"/>
            <w:gridSpan w:val="7"/>
            <w:tcBorders>
              <w:top w:val="nil"/>
              <w:left w:val="nil"/>
              <w:bottom w:val="nil"/>
              <w:right w:val="nil"/>
            </w:tcBorders>
            <w:shd w:val="clear" w:color="auto" w:fill="auto"/>
            <w:noWrap/>
            <w:vAlign w:val="center"/>
          </w:tcPr>
          <w:p w14:paraId="4BBE2518">
            <w:pPr>
              <w:widowControl/>
              <w:jc w:val="center"/>
              <w:rPr>
                <w:rFonts w:hint="eastAsia" w:ascii="楷体" w:hAnsi="楷体" w:eastAsia="楷体" w:cs="楷体"/>
                <w:color w:val="000000"/>
                <w:kern w:val="0"/>
                <w:sz w:val="18"/>
                <w:szCs w:val="18"/>
              </w:rPr>
            </w:pPr>
          </w:p>
        </w:tc>
      </w:tr>
      <w:tr w14:paraId="35C53711">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47E00350">
            <w:pPr>
              <w:widowControl/>
              <w:ind w:firstLine="450" w:firstLineChars="250"/>
              <w:jc w:val="left"/>
              <w:rPr>
                <w:rFonts w:hint="eastAsia" w:ascii="楷体" w:hAnsi="楷体" w:eastAsia="楷体" w:cs="楷体"/>
                <w:color w:val="000000"/>
                <w:kern w:val="0"/>
                <w:sz w:val="18"/>
                <w:szCs w:val="18"/>
              </w:rPr>
            </w:pPr>
          </w:p>
        </w:tc>
        <w:tc>
          <w:tcPr>
            <w:tcW w:w="2512" w:type="dxa"/>
            <w:tcBorders>
              <w:top w:val="nil"/>
              <w:left w:val="nil"/>
              <w:bottom w:val="nil"/>
              <w:right w:val="nil"/>
            </w:tcBorders>
            <w:shd w:val="clear" w:color="auto" w:fill="auto"/>
            <w:noWrap/>
            <w:vAlign w:val="center"/>
          </w:tcPr>
          <w:p w14:paraId="5B775EFC">
            <w:pPr>
              <w:widowControl/>
              <w:jc w:val="left"/>
              <w:rPr>
                <w:rFonts w:hint="eastAsia" w:ascii="楷体" w:hAnsi="楷体" w:eastAsia="楷体" w:cs="楷体"/>
                <w:color w:val="000000"/>
                <w:kern w:val="0"/>
                <w:sz w:val="18"/>
                <w:szCs w:val="18"/>
              </w:rPr>
            </w:pPr>
          </w:p>
        </w:tc>
        <w:tc>
          <w:tcPr>
            <w:tcW w:w="2512" w:type="dxa"/>
            <w:tcBorders>
              <w:top w:val="nil"/>
              <w:left w:val="nil"/>
              <w:bottom w:val="nil"/>
              <w:right w:val="nil"/>
            </w:tcBorders>
            <w:shd w:val="clear" w:color="auto" w:fill="auto"/>
            <w:noWrap/>
            <w:vAlign w:val="center"/>
          </w:tcPr>
          <w:p w14:paraId="2980A08C">
            <w:pPr>
              <w:widowControl/>
              <w:jc w:val="left"/>
              <w:rPr>
                <w:rFonts w:hint="eastAsia" w:ascii="楷体" w:hAnsi="楷体" w:eastAsia="楷体" w:cs="楷体"/>
                <w:color w:val="000000"/>
                <w:kern w:val="0"/>
                <w:sz w:val="18"/>
                <w:szCs w:val="18"/>
              </w:rPr>
            </w:pPr>
          </w:p>
        </w:tc>
        <w:tc>
          <w:tcPr>
            <w:tcW w:w="2818" w:type="dxa"/>
            <w:tcBorders>
              <w:top w:val="nil"/>
              <w:left w:val="nil"/>
              <w:bottom w:val="nil"/>
              <w:right w:val="nil"/>
            </w:tcBorders>
            <w:shd w:val="clear" w:color="auto" w:fill="auto"/>
            <w:noWrap/>
            <w:vAlign w:val="center"/>
          </w:tcPr>
          <w:p w14:paraId="465A67DC">
            <w:pPr>
              <w:widowControl/>
              <w:jc w:val="left"/>
              <w:rPr>
                <w:rFonts w:hint="eastAsia" w:ascii="楷体" w:hAnsi="楷体" w:eastAsia="楷体" w:cs="楷体"/>
                <w:color w:val="000000"/>
                <w:kern w:val="0"/>
                <w:sz w:val="18"/>
                <w:szCs w:val="18"/>
              </w:rPr>
            </w:pPr>
          </w:p>
        </w:tc>
        <w:tc>
          <w:tcPr>
            <w:tcW w:w="3462" w:type="dxa"/>
            <w:gridSpan w:val="2"/>
            <w:tcBorders>
              <w:top w:val="nil"/>
              <w:left w:val="nil"/>
              <w:bottom w:val="single" w:color="auto" w:sz="4" w:space="0"/>
              <w:right w:val="nil"/>
            </w:tcBorders>
            <w:shd w:val="clear" w:color="auto" w:fill="auto"/>
            <w:noWrap/>
            <w:vAlign w:val="center"/>
          </w:tcPr>
          <w:p w14:paraId="3B20F5F8">
            <w:pPr>
              <w:widowControl/>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50A6F643">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28A6374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25</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04FC9A7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对医疗美容机构医疗器械质量的检查</w:t>
            </w:r>
          </w:p>
        </w:tc>
        <w:tc>
          <w:tcPr>
            <w:tcW w:w="2512" w:type="dxa"/>
            <w:tcBorders>
              <w:top w:val="nil"/>
              <w:left w:val="nil"/>
              <w:bottom w:val="single" w:color="auto" w:sz="4" w:space="0"/>
              <w:right w:val="single" w:color="auto" w:sz="4" w:space="0"/>
            </w:tcBorders>
            <w:shd w:val="clear" w:color="auto" w:fill="auto"/>
            <w:noWrap/>
            <w:vAlign w:val="center"/>
          </w:tcPr>
          <w:p w14:paraId="7AAE9A3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【行政法规】医疗器械监督管理条例（中华人民共和国国务院令第739号）</w:t>
            </w:r>
          </w:p>
          <w:p w14:paraId="0D41770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第五十四条  负责药品监督管理的部门和卫生主管部门依据各自职责，分别对使用环节的医疗器械质量和医疗器械使用行为进行监督管理。</w:t>
            </w:r>
          </w:p>
          <w:p w14:paraId="34856B9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【部门规章】医疗器械使用质量监督管理办法（中华人民共和国国家食品药品监督管理总局令第18号）</w:t>
            </w:r>
          </w:p>
          <w:p w14:paraId="2E04B7D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第三条第一款  国家食品药品监督管理总局负责全国医疗器械使用质量监督管理工作。县级以上地方食品药品监督管理部门负责本行政区域的医疗器械使用质量监督管理工作</w:t>
            </w:r>
          </w:p>
        </w:tc>
        <w:tc>
          <w:tcPr>
            <w:tcW w:w="2512" w:type="dxa"/>
            <w:tcBorders>
              <w:top w:val="nil"/>
              <w:left w:val="nil"/>
              <w:bottom w:val="single" w:color="auto" w:sz="4" w:space="0"/>
              <w:right w:val="single" w:color="auto" w:sz="4" w:space="0"/>
            </w:tcBorders>
            <w:shd w:val="clear" w:color="auto" w:fill="auto"/>
            <w:noWrap/>
            <w:vAlign w:val="center"/>
          </w:tcPr>
          <w:p w14:paraId="5A5F8C1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符合《医疗器械监督管理条例》《医疗器械使用质量监督管理办法》《医疗器械冷链(运输、贮存)管理指南》、医疗器械经营质量管理规范现场检查指导原则的要求　</w:t>
            </w:r>
          </w:p>
        </w:tc>
        <w:tc>
          <w:tcPr>
            <w:tcW w:w="2818" w:type="dxa"/>
            <w:tcBorders>
              <w:top w:val="nil"/>
              <w:left w:val="nil"/>
              <w:bottom w:val="single" w:color="auto" w:sz="4" w:space="0"/>
              <w:right w:val="single" w:color="auto" w:sz="4" w:space="0"/>
            </w:tcBorders>
            <w:shd w:val="clear" w:color="auto" w:fill="auto"/>
            <w:noWrap/>
            <w:vAlign w:val="center"/>
          </w:tcPr>
          <w:p w14:paraId="759EEB7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0295938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7E09E55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3773505E">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A596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26</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891EBB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w:t>
            </w:r>
            <w:r>
              <w:rPr>
                <w:rFonts w:hint="eastAsia" w:ascii="楷体" w:hAnsi="楷体" w:eastAsia="楷体" w:cs="楷体"/>
                <w:color w:val="000000"/>
                <w:kern w:val="0"/>
                <w:sz w:val="18"/>
                <w:szCs w:val="18"/>
                <w:lang w:val="en-US" w:eastAsia="zh-CN"/>
              </w:rPr>
              <w:t>消费品产</w:t>
            </w:r>
            <w:r>
              <w:rPr>
                <w:rFonts w:hint="eastAsia" w:ascii="楷体" w:hAnsi="楷体" w:eastAsia="楷体" w:cs="楷体"/>
                <w:color w:val="000000"/>
                <w:kern w:val="0"/>
                <w:sz w:val="18"/>
                <w:szCs w:val="18"/>
              </w:rPr>
              <w:t>品质量的检查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581303D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【法律】中华人民共和国产品质量法（中华人民共和国主席令第22号）</w:t>
            </w:r>
          </w:p>
          <w:p w14:paraId="45F59D51">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第十五条第一款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14:paraId="76D94B6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第十八条第一项　县级以上市场监督管理部门根据已经取得的违法嫌疑证据或者举报，对涉嫌违反本法规定的行为进行查处时，可以行使下列职权：</w:t>
            </w:r>
          </w:p>
          <w:p w14:paraId="371F4834">
            <w:pPr>
              <w:keepNext w:val="0"/>
              <w:keepLines w:val="0"/>
              <w:pageBreakBefore w:val="0"/>
              <w:widowControl/>
              <w:numPr>
                <w:ilvl w:val="0"/>
                <w:numId w:val="0"/>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lang w:val="en-US" w:eastAsia="zh-CN"/>
              </w:rPr>
              <w:t>一</w:t>
            </w:r>
            <w:r>
              <w:rPr>
                <w:rFonts w:hint="eastAsia" w:ascii="楷体" w:hAnsi="楷体" w:eastAsia="楷体" w:cs="楷体"/>
                <w:color w:val="000000"/>
                <w:kern w:val="0"/>
                <w:sz w:val="18"/>
                <w:szCs w:val="18"/>
                <w:lang w:eastAsia="zh-CN"/>
              </w:rPr>
              <w:t>）</w:t>
            </w:r>
            <w:r>
              <w:rPr>
                <w:rFonts w:hint="eastAsia" w:ascii="楷体" w:hAnsi="楷体" w:eastAsia="楷体" w:cs="楷体"/>
                <w:color w:val="000000"/>
                <w:kern w:val="0"/>
                <w:sz w:val="18"/>
                <w:szCs w:val="18"/>
              </w:rPr>
              <w:t>对当事人涉嫌从事违反本法的生产、销售活动的场所实施现场检查；</w:t>
            </w:r>
          </w:p>
          <w:p w14:paraId="3A96DD9E">
            <w:pPr>
              <w:keepNext w:val="0"/>
              <w:keepLines w:val="0"/>
              <w:pageBreakBefore w:val="0"/>
              <w:widowControl/>
              <w:numPr>
                <w:ilvl w:val="0"/>
                <w:numId w:val="0"/>
              </w:numPr>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6805E56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消费品产品合格，不存在缺陷</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4F96D72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1次/月</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2A009C8E">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74E8342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78D36C39">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CAF9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27</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68F18F8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对</w:t>
            </w:r>
            <w:r>
              <w:rPr>
                <w:rFonts w:hint="eastAsia" w:ascii="楷体" w:hAnsi="楷体" w:eastAsia="楷体" w:cs="楷体"/>
                <w:color w:val="000000"/>
                <w:kern w:val="0"/>
                <w:sz w:val="18"/>
                <w:szCs w:val="18"/>
              </w:rPr>
              <w:t>标准实施的监督检查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23A1AE3">
            <w:pPr>
              <w:keepNext w:val="0"/>
              <w:keepLines w:val="0"/>
              <w:pageBreakBefore w:val="0"/>
              <w:kinsoku/>
              <w:wordWrap/>
              <w:overflowPunct/>
              <w:topLinePunct w:val="0"/>
              <w:autoSpaceDE/>
              <w:autoSpaceDN/>
              <w:bidi w:val="0"/>
              <w:adjustRightInd/>
              <w:snapToGrid/>
              <w:spacing w:beforeLines="0" w:after="20" w:afterLines="0"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【法律】中华人民共和国标准化法(</w:t>
            </w:r>
            <w:r>
              <w:rPr>
                <w:rFonts w:hint="eastAsia" w:ascii="楷体" w:hAnsi="楷体" w:eastAsia="楷体" w:cs="楷体"/>
                <w:color w:val="000000"/>
                <w:sz w:val="18"/>
                <w:szCs w:val="18"/>
                <w:lang w:val="zh-CN"/>
              </w:rPr>
              <w:t>中华人民共和国主席令第七十八号，</w:t>
            </w:r>
            <w:r>
              <w:rPr>
                <w:rFonts w:hint="eastAsia" w:ascii="楷体" w:hAnsi="楷体" w:eastAsia="楷体" w:cs="楷体"/>
                <w:color w:val="000000"/>
                <w:kern w:val="0"/>
                <w:sz w:val="18"/>
                <w:szCs w:val="18"/>
              </w:rPr>
              <w:t>2017年</w:t>
            </w:r>
            <w:r>
              <w:rPr>
                <w:rFonts w:hint="eastAsia" w:ascii="楷体" w:hAnsi="楷体" w:eastAsia="楷体" w:cs="楷体"/>
                <w:color w:val="000000"/>
                <w:kern w:val="0"/>
                <w:sz w:val="18"/>
                <w:szCs w:val="18"/>
                <w:lang w:val="en-US" w:eastAsia="zh-CN"/>
              </w:rPr>
              <w:t>11月4日</w:t>
            </w:r>
            <w:r>
              <w:rPr>
                <w:rFonts w:hint="eastAsia" w:ascii="楷体" w:hAnsi="楷体" w:eastAsia="楷体" w:cs="楷体"/>
                <w:color w:val="000000"/>
                <w:kern w:val="0"/>
                <w:sz w:val="18"/>
                <w:szCs w:val="18"/>
              </w:rPr>
              <w:t>修订)</w:t>
            </w:r>
          </w:p>
          <w:p w14:paraId="730C20A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第三十二条 县级以上人民政府标准化行政主管部门、有关行政主管部门依据法定职责，对标准的制定进行指导和监督，对标准的实施进行监督检查。</w:t>
            </w:r>
          </w:p>
          <w:p w14:paraId="0D5C238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【行政法规】陕西省标准化条例（2014年公布）</w:t>
            </w:r>
          </w:p>
          <w:p w14:paraId="692244A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第三十九条 标准化行政主管部门进行监督检查时，执法人员不得少于两人，并主动出示行政执法证件，可以行使下列职权：</w:t>
            </w:r>
          </w:p>
          <w:p w14:paraId="65651E6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（一）询问当事人或者有关人员，要求其提供与调查事项有关的资料；</w:t>
            </w:r>
          </w:p>
          <w:p w14:paraId="75DE377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（二）查阅、复制有关标准化活动的文件、合同、业务函电等资料，通过录音、录像、拍照等方式收集有关证据材料；</w:t>
            </w:r>
          </w:p>
          <w:p w14:paraId="173B020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（三）进入有关场所和产品存放地进行检查；</w:t>
            </w:r>
          </w:p>
          <w:p w14:paraId="341AE522">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（四）在证据可能灭失或者以后难以取得的情况下，经标准化行政主管部门主管负责人批准，可以先行登记保存，并应当在七日内及时作出处理决定，在此期间，当事人或者有关人员不得销毁或者转移证据；</w:t>
            </w:r>
          </w:p>
          <w:p w14:paraId="1B241AA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（五）法律、法规规定的其他职权。</w:t>
            </w:r>
          </w:p>
          <w:p w14:paraId="4FB29DB7">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单位和个人不得拒绝、妨碍和干扰标准化行政主管部门的监督检查活动。</w:t>
            </w:r>
          </w:p>
          <w:p w14:paraId="1BC65C8B">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48BA00F">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符合</w:t>
            </w:r>
            <w:r>
              <w:rPr>
                <w:rFonts w:hint="eastAsia" w:ascii="楷体" w:hAnsi="楷体" w:eastAsia="楷体" w:cs="楷体"/>
                <w:color w:val="000000"/>
                <w:kern w:val="0"/>
                <w:sz w:val="18"/>
                <w:szCs w:val="18"/>
              </w:rPr>
              <w:t>《中华人民共和国标准化法》</w:t>
            </w:r>
            <w:r>
              <w:rPr>
                <w:rFonts w:hint="eastAsia" w:ascii="楷体" w:hAnsi="楷体" w:eastAsia="楷体" w:cs="楷体"/>
                <w:color w:val="000000"/>
                <w:kern w:val="0"/>
                <w:sz w:val="18"/>
                <w:szCs w:val="18"/>
                <w:lang w:val="en-US" w:eastAsia="zh-CN"/>
              </w:rPr>
              <w:t>规定的标准实施情况</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346511D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4017417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4B1D2C6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r>
      <w:tr w14:paraId="08C17AFA">
        <w:tblPrEx>
          <w:tblCellMar>
            <w:top w:w="0" w:type="dxa"/>
            <w:left w:w="108" w:type="dxa"/>
            <w:bottom w:w="0" w:type="dxa"/>
            <w:right w:w="108" w:type="dxa"/>
          </w:tblCellMar>
        </w:tblPrEx>
        <w:trPr>
          <w:trHeight w:val="33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8DE5C6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28</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59E43A3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对涉嫌从事违法的生产、销售活动的场所实施现场检查</w:t>
            </w:r>
          </w:p>
        </w:tc>
        <w:tc>
          <w:tcPr>
            <w:tcW w:w="2512" w:type="dxa"/>
            <w:tcBorders>
              <w:top w:val="nil"/>
              <w:left w:val="nil"/>
              <w:bottom w:val="single" w:color="auto" w:sz="4" w:space="0"/>
              <w:right w:val="single" w:color="auto" w:sz="4" w:space="0"/>
            </w:tcBorders>
            <w:shd w:val="clear" w:color="auto" w:fill="auto"/>
            <w:noWrap/>
            <w:vAlign w:val="center"/>
          </w:tcPr>
          <w:p w14:paraId="74E6692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【法律】中华人民共和国产品质量法（中华人民共和国主席令第22号）</w:t>
            </w:r>
          </w:p>
          <w:p w14:paraId="7DAB625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第十八条　县级以上市场监督管理部门根据已经取得的违法嫌疑证据或者举报，对涉嫌违反本法规定的行为进行查处时，可以行使下列职权：</w:t>
            </w:r>
          </w:p>
          <w:p w14:paraId="22AA5AB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（一）对当事人涉嫌从事违反本法的生产、销售活动的场所实施现场检查；</w:t>
            </w:r>
          </w:p>
          <w:p w14:paraId="1B1927F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（二）向当事人的法定代表人、主要负责人和其他有关人员调查、了解与涉嫌从事违反本法的生产、销售活动有关的情况；</w:t>
            </w:r>
          </w:p>
          <w:p w14:paraId="1F91D29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（三）查阅、复制当事人有关的合同、发票、帐簿以及其他有关资料；</w:t>
            </w:r>
          </w:p>
          <w:p w14:paraId="3A857AE7">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（四）对有根据认为不符合保障人体健康和人身、财产安全的国家标准、行业标准的产品或者有其他严重质量问题的产品，以及直接用于生产、销售该项产品的原辅材料、包装物、生产工具，予以查封或者扣押。</w:t>
            </w:r>
          </w:p>
          <w:p w14:paraId="11A38C3F">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p>
        </w:tc>
        <w:tc>
          <w:tcPr>
            <w:tcW w:w="2512" w:type="dxa"/>
            <w:tcBorders>
              <w:top w:val="nil"/>
              <w:left w:val="nil"/>
              <w:bottom w:val="single" w:color="auto" w:sz="4" w:space="0"/>
              <w:right w:val="single" w:color="auto" w:sz="4" w:space="0"/>
            </w:tcBorders>
            <w:shd w:val="clear" w:color="auto" w:fill="auto"/>
            <w:noWrap/>
            <w:vAlign w:val="center"/>
          </w:tcPr>
          <w:p w14:paraId="5182EA6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对不符合《中华人民共和国产品质量法》的违法行为的检查</w:t>
            </w:r>
            <w:r>
              <w:rPr>
                <w:rFonts w:hint="eastAsia" w:ascii="楷体" w:hAnsi="楷体" w:eastAsia="楷体" w:cs="楷体"/>
                <w:color w:val="000000"/>
                <w:kern w:val="0"/>
                <w:sz w:val="18"/>
                <w:szCs w:val="18"/>
              </w:rPr>
              <w:t>　</w:t>
            </w:r>
          </w:p>
        </w:tc>
        <w:tc>
          <w:tcPr>
            <w:tcW w:w="2818" w:type="dxa"/>
            <w:tcBorders>
              <w:top w:val="nil"/>
              <w:left w:val="nil"/>
              <w:bottom w:val="single" w:color="auto" w:sz="4" w:space="0"/>
              <w:right w:val="single" w:color="auto" w:sz="4" w:space="0"/>
            </w:tcBorders>
            <w:shd w:val="clear" w:color="auto" w:fill="auto"/>
            <w:noWrap/>
            <w:vAlign w:val="center"/>
          </w:tcPr>
          <w:p w14:paraId="0D00E43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1次/月</w:t>
            </w:r>
          </w:p>
        </w:tc>
        <w:tc>
          <w:tcPr>
            <w:tcW w:w="2177" w:type="dxa"/>
            <w:tcBorders>
              <w:top w:val="nil"/>
              <w:left w:val="nil"/>
              <w:bottom w:val="single" w:color="auto" w:sz="4" w:space="0"/>
              <w:right w:val="single" w:color="auto" w:sz="4" w:space="0"/>
            </w:tcBorders>
            <w:shd w:val="clear" w:color="auto" w:fill="auto"/>
            <w:noWrap/>
            <w:vAlign w:val="center"/>
          </w:tcPr>
          <w:p w14:paraId="533AAF2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1次/年</w:t>
            </w:r>
          </w:p>
        </w:tc>
        <w:tc>
          <w:tcPr>
            <w:tcW w:w="1285" w:type="dxa"/>
            <w:tcBorders>
              <w:top w:val="nil"/>
              <w:left w:val="nil"/>
              <w:bottom w:val="single" w:color="auto" w:sz="4" w:space="0"/>
              <w:right w:val="single" w:color="auto" w:sz="4" w:space="0"/>
            </w:tcBorders>
            <w:shd w:val="clear" w:color="auto" w:fill="auto"/>
            <w:noWrap/>
            <w:vAlign w:val="center"/>
          </w:tcPr>
          <w:p w14:paraId="4DA55F9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60291F4D">
        <w:tblPrEx>
          <w:tblCellMar>
            <w:top w:w="0" w:type="dxa"/>
            <w:left w:w="108" w:type="dxa"/>
            <w:bottom w:w="0" w:type="dxa"/>
            <w:right w:w="108" w:type="dxa"/>
          </w:tblCellMar>
        </w:tblPrEx>
        <w:trPr>
          <w:trHeight w:val="29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CAD1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29</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4744DB4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对粮食经营活动中扰乱市场秩序和违法违规交易行为的行政监督检查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4098813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【行政法规】粮食流通管理条例（国务院令第407号</w:t>
            </w:r>
            <w:r>
              <w:rPr>
                <w:rFonts w:hint="eastAsia" w:ascii="楷体" w:hAnsi="楷体" w:eastAsia="楷体" w:cs="楷体"/>
                <w:color w:val="000000"/>
                <w:kern w:val="0"/>
                <w:sz w:val="18"/>
                <w:szCs w:val="18"/>
                <w:lang w:eastAsia="zh-CN"/>
              </w:rPr>
              <w:t>，</w:t>
            </w:r>
            <w:bookmarkStart w:id="0" w:name="_GoBack"/>
            <w:bookmarkEnd w:id="0"/>
            <w:r>
              <w:rPr>
                <w:rFonts w:hint="eastAsia" w:ascii="楷体" w:hAnsi="楷体" w:eastAsia="楷体" w:cs="楷体"/>
                <w:color w:val="000000"/>
                <w:kern w:val="0"/>
                <w:sz w:val="18"/>
                <w:szCs w:val="18"/>
              </w:rPr>
              <w:t>2021年修订）</w:t>
            </w:r>
          </w:p>
          <w:p w14:paraId="1ABAF42A">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第三十九条　市场监督管理部门依照有关法律、法规的规定，对粮食经营活动中的扰乱市场秩序行为、违法交易行为以及价格违法行为进行监督检查。</w:t>
            </w:r>
          </w:p>
          <w:p w14:paraId="1EB91B64">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AA3C16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粮食经营活动符合《粮食流通管理条例》规定</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2E13546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0BFBC322">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71B9561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p>
        </w:tc>
      </w:tr>
      <w:tr w14:paraId="1974A628">
        <w:tblPrEx>
          <w:tblCellMar>
            <w:top w:w="0" w:type="dxa"/>
            <w:left w:w="108" w:type="dxa"/>
            <w:bottom w:w="0" w:type="dxa"/>
            <w:right w:w="108" w:type="dxa"/>
          </w:tblCellMar>
        </w:tblPrEx>
        <w:trPr>
          <w:trHeight w:val="59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812BE">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30</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3A65509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对保健食品、特殊医学用途配方食品和婴幼儿配方食品等特殊食品生产经营的检查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23CFD44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【法律】中华人民共和国食品安全法（中华人民共和国主席令第81号）</w:t>
            </w:r>
          </w:p>
          <w:p w14:paraId="2B5EA53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第五条  国务院食品安全监督管理部门依照本法和国务院规定的职责，对食品生产经营活动实施监督管理。</w:t>
            </w:r>
          </w:p>
          <w:p w14:paraId="793FB0A5">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第七十四条　国家对保健食品、特殊医学用途配方食品和婴幼儿配方食品等特殊食品实行严格监督管理。</w:t>
            </w:r>
          </w:p>
          <w:p w14:paraId="1A18325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第一百一十条  县级以上人民政府食品安全监督管理部门履行食品安全监督管理职责，有权采取下列措施，对生产经营者遵守本法的情况进行监督检查：</w:t>
            </w:r>
          </w:p>
          <w:p w14:paraId="32A427E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（一）进入生产经营场所实施现场检查；</w:t>
            </w:r>
          </w:p>
          <w:p w14:paraId="49B1A53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（二）对生产经营的食品、食品添加剂、食品相关产品进行抽样检验；</w:t>
            </w:r>
          </w:p>
          <w:p w14:paraId="10A90E1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（三）查阅、复制有关合同、票据、账簿以及其他有关资料；</w:t>
            </w:r>
          </w:p>
          <w:p w14:paraId="3A45F88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（四）查封、扣押有证据证明不符合食品安全标准或者有证据证明存在安全隐患以及用于违法生产经营的食品、食品添加剂、食品相关产品；</w:t>
            </w:r>
          </w:p>
          <w:p w14:paraId="56FBFB7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（五）查封违法从事生产经营活动的场所。</w:t>
            </w:r>
          </w:p>
          <w:p w14:paraId="15BB9C7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2D8583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rPr>
              <w:t>保健食品、特殊医学用途配方食品和婴幼儿配方食品</w:t>
            </w:r>
            <w:r>
              <w:rPr>
                <w:rFonts w:hint="eastAsia" w:ascii="楷体" w:hAnsi="楷体" w:eastAsia="楷体" w:cs="楷体"/>
                <w:color w:val="000000"/>
                <w:kern w:val="0"/>
                <w:sz w:val="18"/>
                <w:szCs w:val="18"/>
                <w:lang w:val="en-US" w:eastAsia="zh-CN"/>
              </w:rPr>
              <w:t>符合《食品安全法》相关规定</w:t>
            </w: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4894EBD9">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1次/月</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41FD4D37">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2次/年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5CB2D24F">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p>
        </w:tc>
      </w:tr>
    </w:tbl>
    <w:tbl>
      <w:tblPr>
        <w:tblStyle w:val="2"/>
        <w:tblpPr w:leftFromText="180" w:rightFromText="180" w:vertAnchor="text" w:horzAnchor="page" w:tblpX="804" w:tblpY="173"/>
        <w:tblOverlap w:val="never"/>
        <w:tblW w:w="15101" w:type="dxa"/>
        <w:tblInd w:w="0" w:type="dxa"/>
        <w:tblLayout w:type="autofit"/>
        <w:tblCellMar>
          <w:top w:w="0" w:type="dxa"/>
          <w:left w:w="108" w:type="dxa"/>
          <w:bottom w:w="0" w:type="dxa"/>
          <w:right w:w="108" w:type="dxa"/>
        </w:tblCellMar>
      </w:tblPr>
      <w:tblGrid>
        <w:gridCol w:w="1008"/>
        <w:gridCol w:w="2789"/>
        <w:gridCol w:w="2512"/>
        <w:gridCol w:w="2512"/>
        <w:gridCol w:w="2818"/>
        <w:gridCol w:w="2177"/>
        <w:gridCol w:w="1285"/>
      </w:tblGrid>
      <w:tr w14:paraId="2B90D541">
        <w:tblPrEx>
          <w:tblCellMar>
            <w:top w:w="0" w:type="dxa"/>
            <w:left w:w="108" w:type="dxa"/>
            <w:bottom w:w="0" w:type="dxa"/>
            <w:right w:w="108" w:type="dxa"/>
          </w:tblCellMar>
        </w:tblPrEx>
        <w:trPr>
          <w:trHeight w:val="420" w:hRule="atLeast"/>
        </w:trPr>
        <w:tc>
          <w:tcPr>
            <w:tcW w:w="3797" w:type="dxa"/>
            <w:gridSpan w:val="2"/>
            <w:tcBorders>
              <w:top w:val="nil"/>
              <w:left w:val="nil"/>
              <w:bottom w:val="nil"/>
              <w:right w:val="nil"/>
            </w:tcBorders>
            <w:shd w:val="clear" w:color="auto" w:fill="auto"/>
            <w:noWrap/>
            <w:vAlign w:val="center"/>
          </w:tcPr>
          <w:p w14:paraId="1291A5D4">
            <w:pPr>
              <w:widowControl/>
              <w:jc w:val="left"/>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304D8306">
            <w:pPr>
              <w:widowControl/>
              <w:jc w:val="left"/>
              <w:rPr>
                <w:rFonts w:ascii="仿宋_GB2312" w:hAnsi="宋体" w:eastAsia="仿宋_GB2312" w:cs="宋体"/>
                <w:color w:val="000000"/>
                <w:kern w:val="0"/>
                <w:sz w:val="32"/>
                <w:szCs w:val="32"/>
              </w:rPr>
            </w:pPr>
          </w:p>
        </w:tc>
        <w:tc>
          <w:tcPr>
            <w:tcW w:w="2512" w:type="dxa"/>
            <w:tcBorders>
              <w:top w:val="nil"/>
              <w:left w:val="nil"/>
              <w:bottom w:val="nil"/>
              <w:right w:val="nil"/>
            </w:tcBorders>
            <w:shd w:val="clear" w:color="auto" w:fill="auto"/>
            <w:noWrap/>
            <w:vAlign w:val="center"/>
          </w:tcPr>
          <w:p w14:paraId="3A2A0721">
            <w:pPr>
              <w:widowControl/>
              <w:jc w:val="left"/>
              <w:rPr>
                <w:rFonts w:ascii="仿宋_GB2312" w:hAnsi="宋体" w:eastAsia="仿宋_GB2312" w:cs="宋体"/>
                <w:color w:val="000000"/>
                <w:kern w:val="0"/>
                <w:sz w:val="32"/>
                <w:szCs w:val="32"/>
              </w:rPr>
            </w:pPr>
          </w:p>
        </w:tc>
        <w:tc>
          <w:tcPr>
            <w:tcW w:w="2818" w:type="dxa"/>
            <w:tcBorders>
              <w:top w:val="nil"/>
              <w:left w:val="nil"/>
              <w:bottom w:val="nil"/>
              <w:right w:val="nil"/>
            </w:tcBorders>
            <w:shd w:val="clear" w:color="auto" w:fill="auto"/>
            <w:noWrap/>
            <w:vAlign w:val="center"/>
          </w:tcPr>
          <w:p w14:paraId="4F74FAF3">
            <w:pPr>
              <w:widowControl/>
              <w:ind w:firstLine="1120" w:firstLineChars="350"/>
              <w:jc w:val="left"/>
              <w:rPr>
                <w:rFonts w:ascii="仿宋_GB2312" w:hAnsi="宋体" w:eastAsia="仿宋_GB2312" w:cs="宋体"/>
                <w:color w:val="000000"/>
                <w:kern w:val="0"/>
                <w:sz w:val="32"/>
                <w:szCs w:val="32"/>
              </w:rPr>
            </w:pPr>
          </w:p>
        </w:tc>
        <w:tc>
          <w:tcPr>
            <w:tcW w:w="3462" w:type="dxa"/>
            <w:gridSpan w:val="2"/>
            <w:tcBorders>
              <w:top w:val="nil"/>
              <w:left w:val="nil"/>
              <w:bottom w:val="single" w:color="auto" w:sz="4" w:space="0"/>
              <w:right w:val="nil"/>
            </w:tcBorders>
            <w:shd w:val="clear" w:color="auto" w:fill="auto"/>
            <w:noWrap/>
            <w:vAlign w:val="center"/>
          </w:tcPr>
          <w:p w14:paraId="680695C9">
            <w:pPr>
              <w:widowControl/>
              <w:rPr>
                <w:rFonts w:ascii="仿宋_GB2312" w:hAnsi="宋体" w:eastAsia="仿宋_GB2312" w:cs="宋体"/>
                <w:color w:val="000000"/>
                <w:kern w:val="0"/>
                <w:sz w:val="32"/>
                <w:szCs w:val="32"/>
              </w:rPr>
            </w:pPr>
          </w:p>
        </w:tc>
      </w:tr>
      <w:tr w14:paraId="6E1C2673">
        <w:tblPrEx>
          <w:tblCellMar>
            <w:top w:w="0" w:type="dxa"/>
            <w:left w:w="108" w:type="dxa"/>
            <w:bottom w:w="0" w:type="dxa"/>
            <w:right w:w="108" w:type="dxa"/>
          </w:tblCellMar>
        </w:tblPrEx>
        <w:trPr>
          <w:trHeight w:val="509"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89E240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31</w:t>
            </w:r>
            <w:r>
              <w:rPr>
                <w:rFonts w:hint="eastAsia" w:ascii="楷体" w:hAnsi="楷体" w:eastAsia="楷体" w:cs="楷体"/>
                <w:color w:val="000000"/>
                <w:kern w:val="0"/>
                <w:sz w:val="18"/>
                <w:szCs w:val="18"/>
              </w:rPr>
              <w:t>　</w:t>
            </w:r>
          </w:p>
        </w:tc>
        <w:tc>
          <w:tcPr>
            <w:tcW w:w="2789" w:type="dxa"/>
            <w:tcBorders>
              <w:top w:val="nil"/>
              <w:left w:val="nil"/>
              <w:bottom w:val="single" w:color="auto" w:sz="4" w:space="0"/>
              <w:right w:val="single" w:color="auto" w:sz="4" w:space="0"/>
            </w:tcBorders>
            <w:shd w:val="clear" w:color="auto" w:fill="auto"/>
            <w:noWrap/>
            <w:vAlign w:val="center"/>
          </w:tcPr>
          <w:p w14:paraId="2675FA6D">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对涉及人身健康、财产安全、影响国计民生和消费者投诉集中的商品与服务的执法检查</w:t>
            </w:r>
          </w:p>
        </w:tc>
        <w:tc>
          <w:tcPr>
            <w:tcW w:w="2512" w:type="dxa"/>
            <w:tcBorders>
              <w:top w:val="nil"/>
              <w:left w:val="nil"/>
              <w:bottom w:val="single" w:color="auto" w:sz="4" w:space="0"/>
              <w:right w:val="single" w:color="auto" w:sz="4" w:space="0"/>
            </w:tcBorders>
            <w:shd w:val="clear" w:color="auto" w:fill="auto"/>
            <w:noWrap/>
            <w:vAlign w:val="center"/>
          </w:tcPr>
          <w:p w14:paraId="47C2752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【行政法规】陕西省消费者权益保护条例（201</w:t>
            </w:r>
            <w:r>
              <w:rPr>
                <w:rFonts w:hint="eastAsia" w:ascii="楷体" w:hAnsi="楷体" w:eastAsia="楷体" w:cs="楷体"/>
                <w:color w:val="000000"/>
                <w:kern w:val="0"/>
                <w:sz w:val="18"/>
                <w:szCs w:val="18"/>
                <w:lang w:val="en-US" w:eastAsia="zh-CN"/>
              </w:rPr>
              <w:t>9</w:t>
            </w:r>
            <w:r>
              <w:rPr>
                <w:rFonts w:hint="eastAsia" w:ascii="楷体" w:hAnsi="楷体" w:eastAsia="楷体" w:cs="楷体"/>
                <w:color w:val="000000"/>
                <w:kern w:val="0"/>
                <w:sz w:val="18"/>
                <w:szCs w:val="18"/>
              </w:rPr>
              <w:t>年</w:t>
            </w:r>
            <w:r>
              <w:rPr>
                <w:rFonts w:hint="eastAsia" w:ascii="楷体" w:hAnsi="楷体" w:eastAsia="楷体" w:cs="楷体"/>
                <w:color w:val="000000"/>
                <w:kern w:val="0"/>
                <w:sz w:val="18"/>
                <w:szCs w:val="18"/>
                <w:lang w:val="en-US" w:eastAsia="zh-CN"/>
              </w:rPr>
              <w:t>7月31日第二次修正</w:t>
            </w:r>
            <w:r>
              <w:rPr>
                <w:rFonts w:hint="eastAsia" w:ascii="楷体" w:hAnsi="楷体" w:eastAsia="楷体" w:cs="楷体"/>
                <w:color w:val="000000"/>
                <w:kern w:val="0"/>
                <w:sz w:val="18"/>
                <w:szCs w:val="18"/>
              </w:rPr>
              <w:t>）</w:t>
            </w:r>
          </w:p>
          <w:p w14:paraId="0B7FD830">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xml:space="preserve">    第四十九条 </w:t>
            </w:r>
            <w:r>
              <w:rPr>
                <w:rFonts w:hint="eastAsia" w:ascii="楷体" w:hAnsi="楷体" w:eastAsia="楷体" w:cs="楷体"/>
                <w:color w:val="000000"/>
                <w:kern w:val="0"/>
                <w:sz w:val="18"/>
                <w:szCs w:val="18"/>
                <w:lang w:val="en-US" w:eastAsia="zh-CN"/>
              </w:rPr>
              <w:t>市场监督管理</w:t>
            </w:r>
            <w:r>
              <w:rPr>
                <w:rFonts w:hint="eastAsia" w:ascii="楷体" w:hAnsi="楷体" w:eastAsia="楷体" w:cs="楷体"/>
                <w:color w:val="000000"/>
                <w:kern w:val="0"/>
                <w:sz w:val="18"/>
                <w:szCs w:val="18"/>
              </w:rPr>
              <w:t>及其他行政主管部门应当依法履行市场监管职能，重点加强对涉及人身健康、财产安全、影响国计民生和消费者投诉集中的商品与服务的执法检查。</w:t>
            </w:r>
          </w:p>
          <w:p w14:paraId="2EF48F12">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对违法经营活动需要两个或者两个以上行政主管部门共同执法的，县级以上人民政府应当组织相关行政主管部门开展联合执法。</w:t>
            </w:r>
          </w:p>
          <w:p w14:paraId="273D4FB4">
            <w:pPr>
              <w:keepNext w:val="0"/>
              <w:keepLines w:val="0"/>
              <w:pageBreakBefore w:val="0"/>
              <w:widowControl/>
              <w:kinsoku/>
              <w:wordWrap/>
              <w:overflowPunct/>
              <w:topLinePunct w:val="0"/>
              <w:autoSpaceDE/>
              <w:autoSpaceDN/>
              <w:bidi w:val="0"/>
              <w:adjustRightInd/>
              <w:snapToGrid/>
              <w:spacing w:line="180" w:lineRule="exact"/>
              <w:ind w:firstLine="360"/>
              <w:jc w:val="left"/>
              <w:textAlignment w:val="auto"/>
              <w:rPr>
                <w:rFonts w:hint="eastAsia" w:ascii="楷体" w:hAnsi="楷体" w:eastAsia="楷体" w:cs="楷体"/>
                <w:color w:val="000000"/>
                <w:kern w:val="0"/>
                <w:sz w:val="18"/>
                <w:szCs w:val="18"/>
              </w:rPr>
            </w:pPr>
          </w:p>
        </w:tc>
        <w:tc>
          <w:tcPr>
            <w:tcW w:w="2512" w:type="dxa"/>
            <w:tcBorders>
              <w:top w:val="nil"/>
              <w:left w:val="nil"/>
              <w:bottom w:val="single" w:color="auto" w:sz="4" w:space="0"/>
              <w:right w:val="single" w:color="auto" w:sz="4" w:space="0"/>
            </w:tcBorders>
            <w:shd w:val="clear" w:color="auto" w:fill="auto"/>
            <w:noWrap/>
            <w:vAlign w:val="center"/>
          </w:tcPr>
          <w:p w14:paraId="10F0E517">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消费者集中投诉的商品与服务符合《消费者权益保护法》</w:t>
            </w:r>
            <w:r>
              <w:rPr>
                <w:rFonts w:hint="eastAsia" w:ascii="楷体" w:hAnsi="楷体" w:eastAsia="楷体" w:cs="楷体"/>
                <w:color w:val="000000"/>
                <w:kern w:val="0"/>
                <w:sz w:val="18"/>
                <w:szCs w:val="18"/>
              </w:rPr>
              <w:t>《陕西省消费者权益保护条例》</w:t>
            </w:r>
            <w:r>
              <w:rPr>
                <w:rFonts w:hint="eastAsia" w:ascii="楷体" w:hAnsi="楷体" w:eastAsia="楷体" w:cs="楷体"/>
                <w:color w:val="000000"/>
                <w:kern w:val="0"/>
                <w:sz w:val="18"/>
                <w:szCs w:val="18"/>
                <w:lang w:val="en-US" w:eastAsia="zh-CN"/>
              </w:rPr>
              <w:t>相关规定</w:t>
            </w:r>
          </w:p>
        </w:tc>
        <w:tc>
          <w:tcPr>
            <w:tcW w:w="2818" w:type="dxa"/>
            <w:tcBorders>
              <w:top w:val="nil"/>
              <w:left w:val="nil"/>
              <w:bottom w:val="single" w:color="auto" w:sz="4" w:space="0"/>
              <w:right w:val="single" w:color="auto" w:sz="4" w:space="0"/>
            </w:tcBorders>
            <w:shd w:val="clear" w:color="auto" w:fill="auto"/>
            <w:noWrap/>
            <w:vAlign w:val="center"/>
          </w:tcPr>
          <w:p w14:paraId="49F5922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rPr>
              <w:t>　</w:t>
            </w:r>
            <w:r>
              <w:rPr>
                <w:rFonts w:hint="eastAsia" w:ascii="楷体" w:hAnsi="楷体" w:eastAsia="楷体" w:cs="楷体"/>
                <w:color w:val="000000"/>
                <w:kern w:val="0"/>
                <w:sz w:val="18"/>
                <w:szCs w:val="18"/>
                <w:lang w:val="en-US" w:eastAsia="zh-CN"/>
              </w:rPr>
              <w:t>2次/年</w:t>
            </w:r>
          </w:p>
        </w:tc>
        <w:tc>
          <w:tcPr>
            <w:tcW w:w="2177" w:type="dxa"/>
            <w:tcBorders>
              <w:top w:val="nil"/>
              <w:left w:val="nil"/>
              <w:bottom w:val="single" w:color="auto" w:sz="4" w:space="0"/>
              <w:right w:val="single" w:color="auto" w:sz="4" w:space="0"/>
            </w:tcBorders>
            <w:shd w:val="clear" w:color="auto" w:fill="auto"/>
            <w:noWrap/>
            <w:vAlign w:val="center"/>
          </w:tcPr>
          <w:p w14:paraId="1DD2A209">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lang w:val="en-US" w:eastAsia="zh-CN"/>
              </w:rPr>
              <w:t>1次/年</w:t>
            </w:r>
            <w:r>
              <w:rPr>
                <w:rFonts w:hint="eastAsia" w:ascii="楷体" w:hAnsi="楷体" w:eastAsia="楷体" w:cs="楷体"/>
                <w:color w:val="000000"/>
                <w:kern w:val="0"/>
                <w:sz w:val="18"/>
                <w:szCs w:val="18"/>
              </w:rPr>
              <w:t>　</w:t>
            </w:r>
          </w:p>
        </w:tc>
        <w:tc>
          <w:tcPr>
            <w:tcW w:w="1285" w:type="dxa"/>
            <w:tcBorders>
              <w:top w:val="nil"/>
              <w:left w:val="nil"/>
              <w:bottom w:val="single" w:color="auto" w:sz="4" w:space="0"/>
              <w:right w:val="single" w:color="auto" w:sz="4" w:space="0"/>
            </w:tcBorders>
            <w:shd w:val="clear" w:color="auto" w:fill="auto"/>
            <w:noWrap/>
            <w:vAlign w:val="center"/>
          </w:tcPr>
          <w:p w14:paraId="52D5175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r>
      <w:tr w14:paraId="54C446BF">
        <w:tblPrEx>
          <w:tblCellMar>
            <w:top w:w="0" w:type="dxa"/>
            <w:left w:w="108" w:type="dxa"/>
            <w:bottom w:w="0" w:type="dxa"/>
            <w:right w:w="108" w:type="dxa"/>
          </w:tblCellMar>
        </w:tblPrEx>
        <w:trPr>
          <w:trHeight w:val="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58E4C">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32</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78C9D82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对为非法交易野生动物、野生植物等违法行为提供交易服务的检查</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0E8B6832">
            <w:pPr>
              <w:keepNext w:val="0"/>
              <w:keepLines w:val="0"/>
              <w:pageBreakBefore w:val="0"/>
              <w:kinsoku/>
              <w:wordWrap/>
              <w:overflowPunct/>
              <w:topLinePunct w:val="0"/>
              <w:autoSpaceDE/>
              <w:autoSpaceDN/>
              <w:bidi w:val="0"/>
              <w:adjustRightInd/>
              <w:snapToGrid/>
              <w:spacing w:beforeLines="0" w:after="20" w:afterLines="0"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【法律】中华人民共和国野生动物保护法（中华人民共和国主席令第126号</w:t>
            </w:r>
            <w:r>
              <w:rPr>
                <w:rFonts w:hint="eastAsia" w:ascii="楷体" w:hAnsi="楷体" w:eastAsia="楷体" w:cs="楷体"/>
                <w:color w:val="000000"/>
                <w:kern w:val="0"/>
                <w:sz w:val="18"/>
                <w:szCs w:val="18"/>
                <w:lang w:eastAsia="zh-CN"/>
              </w:rPr>
              <w:t>，</w:t>
            </w:r>
            <w:r>
              <w:rPr>
                <w:rFonts w:hint="eastAsia" w:ascii="楷体" w:hAnsi="楷体" w:eastAsia="楷体" w:cs="楷体"/>
                <w:color w:val="000000"/>
                <w:sz w:val="18"/>
                <w:szCs w:val="18"/>
                <w:lang w:val="zh-CN"/>
              </w:rPr>
              <w:t>2022年12月30日第二次修订</w:t>
            </w:r>
            <w:r>
              <w:rPr>
                <w:rFonts w:hint="eastAsia" w:ascii="楷体" w:hAnsi="楷体" w:eastAsia="楷体" w:cs="楷体"/>
                <w:color w:val="000000"/>
                <w:kern w:val="0"/>
                <w:sz w:val="18"/>
                <w:szCs w:val="18"/>
              </w:rPr>
              <w:t>）</w:t>
            </w:r>
          </w:p>
          <w:p w14:paraId="28DB9669">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第三十三条  禁止网络平台、商品交易市场、餐饮场所等，为违法出售、购买、食用及利用野生动物及其制品或者禁止使用的猎捕工具提供展示、交易、消费服务。</w:t>
            </w:r>
          </w:p>
          <w:p w14:paraId="4D418754">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第三十五条第二款  市场监督管理、海关、铁路、道路、水运、民航、邮政等部门应当按照职责分工对野生动物及其制品交易、利用、运输、携带、寄递等活动进行监督检查。</w:t>
            </w:r>
          </w:p>
          <w:p w14:paraId="6F3D3BA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【行政法规】中华人民共和国野生植物保护条例（中华人民共和国国务院令第687号）</w:t>
            </w:r>
          </w:p>
          <w:p w14:paraId="0983CB1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第八条第三款  县级以上地方人民政府负责野生植物管理工作的部门及其职责，由省、自治区、直辖市人民政府根据当地具体情况规定。</w:t>
            </w:r>
          </w:p>
          <w:p w14:paraId="6B0F82FC">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第十八条  禁止出售、收购国家一级保护野生植物。</w:t>
            </w:r>
          </w:p>
          <w:p w14:paraId="10EDF098">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出售、收购国家二级保护野生植物的，必须经省、自治区、直辖市人民政府野生植物行政主管部门或者其授权的机构批准。</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1B903CD6">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楷体" w:hAnsi="楷体" w:eastAsia="楷体" w:cs="楷体"/>
                <w:color w:val="000000"/>
                <w:kern w:val="0"/>
                <w:sz w:val="18"/>
                <w:szCs w:val="18"/>
              </w:rPr>
            </w:pPr>
          </w:p>
        </w:tc>
        <w:tc>
          <w:tcPr>
            <w:tcW w:w="2818" w:type="dxa"/>
            <w:tcBorders>
              <w:top w:val="single" w:color="auto" w:sz="4" w:space="0"/>
              <w:left w:val="nil"/>
              <w:bottom w:val="single" w:color="auto" w:sz="4" w:space="0"/>
              <w:right w:val="single" w:color="auto" w:sz="4" w:space="0"/>
            </w:tcBorders>
            <w:shd w:val="clear" w:color="auto" w:fill="auto"/>
            <w:noWrap/>
            <w:vAlign w:val="center"/>
          </w:tcPr>
          <w:p w14:paraId="45D4B59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2次/年</w:t>
            </w:r>
          </w:p>
        </w:tc>
        <w:tc>
          <w:tcPr>
            <w:tcW w:w="2177" w:type="dxa"/>
            <w:tcBorders>
              <w:top w:val="single" w:color="auto" w:sz="4" w:space="0"/>
              <w:left w:val="nil"/>
              <w:bottom w:val="single" w:color="auto" w:sz="4" w:space="0"/>
              <w:right w:val="single" w:color="auto" w:sz="4" w:space="0"/>
            </w:tcBorders>
            <w:shd w:val="clear" w:color="auto" w:fill="auto"/>
            <w:noWrap/>
            <w:vAlign w:val="center"/>
          </w:tcPr>
          <w:p w14:paraId="1C2F30B4">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lang w:val="en-US"/>
              </w:rPr>
            </w:pPr>
            <w:r>
              <w:rPr>
                <w:rFonts w:hint="eastAsia" w:ascii="楷体" w:hAnsi="楷体" w:eastAsia="楷体" w:cs="楷体"/>
                <w:color w:val="000000"/>
                <w:kern w:val="0"/>
                <w:sz w:val="18"/>
                <w:szCs w:val="18"/>
                <w:lang w:val="en-US" w:eastAsia="zh-CN"/>
              </w:rPr>
              <w:t>1次/年</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56BC636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楷体" w:hAnsi="楷体" w:eastAsia="楷体" w:cs="楷体"/>
                <w:color w:val="000000"/>
                <w:kern w:val="0"/>
                <w:sz w:val="18"/>
                <w:szCs w:val="18"/>
              </w:rPr>
            </w:pPr>
          </w:p>
        </w:tc>
      </w:tr>
    </w:tbl>
    <w:p w14:paraId="0B4083EF">
      <w:pPr>
        <w:keepNext w:val="0"/>
        <w:keepLines w:val="0"/>
        <w:pageBreakBefore w:val="0"/>
        <w:kinsoku/>
        <w:wordWrap/>
        <w:overflowPunct/>
        <w:topLinePunct w:val="0"/>
        <w:autoSpaceDE/>
        <w:autoSpaceDN/>
        <w:bidi w:val="0"/>
        <w:adjustRightInd/>
        <w:snapToGrid/>
        <w:spacing w:line="18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仿宋_GB2312" w:hAnsi="方正小标宋简体" w:eastAsia="仿宋_GB2312"/>
          <w:color w:val="000000" w:themeColor="text1"/>
          <w:sz w:val="32"/>
          <w:szCs w:val="32"/>
          <w14:textFill>
            <w14:solidFill>
              <w14:schemeClr w14:val="tx1"/>
            </w14:solidFill>
          </w14:textFill>
        </w:rPr>
        <w:t xml:space="preserve">                                          </w:t>
      </w:r>
    </w:p>
    <w:p w14:paraId="14D776A8">
      <w:pPr>
        <w:keepNext w:val="0"/>
        <w:keepLines w:val="0"/>
        <w:pageBreakBefore w:val="0"/>
        <w:kinsoku/>
        <w:wordWrap/>
        <w:overflowPunct/>
        <w:topLinePunct w:val="0"/>
        <w:autoSpaceDE/>
        <w:autoSpaceDN/>
        <w:bidi w:val="0"/>
        <w:adjustRightInd/>
        <w:snapToGrid/>
        <w:spacing w:line="180" w:lineRule="exact"/>
        <w:jc w:val="left"/>
        <w:textAlignment w:val="auto"/>
      </w:pPr>
      <w:r>
        <w:rPr>
          <w:rFonts w:hint="eastAsia" w:ascii="仿宋_GB2312" w:hAnsi="方正小标宋简体" w:eastAsia="仿宋_GB2312"/>
          <w:color w:val="000000" w:themeColor="text1"/>
          <w:sz w:val="32"/>
          <w:szCs w:val="32"/>
          <w14:textFill>
            <w14:solidFill>
              <w14:schemeClr w14:val="tx1"/>
            </w14:solidFill>
          </w14:textFill>
        </w:rPr>
        <w:t xml:space="preserve">                                                 </w:t>
      </w:r>
    </w:p>
    <w:p w14:paraId="0A6FF618">
      <w:pPr>
        <w:spacing w:line="580" w:lineRule="exact"/>
        <w:ind w:firstLine="160" w:firstLineChars="50"/>
        <w:jc w:val="left"/>
        <w:rPr>
          <w:rFonts w:hint="default" w:ascii="仿宋_GB2312" w:hAnsi="方正小标宋简体" w:eastAsia="仿宋_GB2312"/>
          <w:color w:val="000000" w:themeColor="text1"/>
          <w:sz w:val="32"/>
          <w:szCs w:val="32"/>
          <w:lang w:val="en-US" w:eastAsia="zh-CN"/>
          <w14:textFill>
            <w14:solidFill>
              <w14:schemeClr w14:val="tx1"/>
            </w14:solidFill>
          </w14:textFill>
        </w:rPr>
      </w:pPr>
      <w:r>
        <w:rPr>
          <w:rFonts w:hint="eastAsia" w:ascii="仿宋_GB2312" w:hAnsi="方正小标宋简体" w:eastAsia="仿宋_GB2312"/>
          <w:color w:val="000000" w:themeColor="text1"/>
          <w:sz w:val="32"/>
          <w:szCs w:val="32"/>
          <w14:textFill>
            <w14:solidFill>
              <w14:schemeClr w14:val="tx1"/>
            </w14:solidFill>
          </w14:textFill>
        </w:rPr>
        <w:t>填表人：</w:t>
      </w:r>
      <w:r>
        <w:rPr>
          <w:rFonts w:hint="eastAsia" w:ascii="仿宋_GB2312" w:hAnsi="方正小标宋简体" w:eastAsia="仿宋_GB2312"/>
          <w:color w:val="000000" w:themeColor="text1"/>
          <w:sz w:val="32"/>
          <w:szCs w:val="32"/>
          <w:lang w:val="en-US" w:eastAsia="zh-CN"/>
          <w14:textFill>
            <w14:solidFill>
              <w14:schemeClr w14:val="tx1"/>
            </w14:solidFill>
          </w14:textFill>
        </w:rPr>
        <w:t>卢海波</w:t>
      </w:r>
      <w:r>
        <w:rPr>
          <w:rFonts w:hint="eastAsia" w:ascii="仿宋_GB2312" w:hAnsi="方正小标宋简体" w:eastAsia="仿宋_GB2312"/>
          <w:color w:val="000000" w:themeColor="text1"/>
          <w:sz w:val="32"/>
          <w:szCs w:val="32"/>
          <w14:textFill>
            <w14:solidFill>
              <w14:schemeClr w14:val="tx1"/>
            </w14:solidFill>
          </w14:textFill>
        </w:rPr>
        <w:t xml:space="preserve">                                               联系电话：</w:t>
      </w:r>
      <w:r>
        <w:rPr>
          <w:rFonts w:hint="eastAsia" w:ascii="仿宋_GB2312" w:hAnsi="方正小标宋简体" w:eastAsia="仿宋_GB2312"/>
          <w:color w:val="000000" w:themeColor="text1"/>
          <w:sz w:val="32"/>
          <w:szCs w:val="32"/>
          <w:lang w:val="en-US" w:eastAsia="zh-CN"/>
          <w14:textFill>
            <w14:solidFill>
              <w14:schemeClr w14:val="tx1"/>
            </w14:solidFill>
          </w14:textFill>
        </w:rPr>
        <w:t>09166719950</w:t>
      </w:r>
    </w:p>
    <w:p w14:paraId="4F52398F"/>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208"/>
    <w:multiLevelType w:val="singleLevel"/>
    <w:tmpl w:val="8983C208"/>
    <w:lvl w:ilvl="0" w:tentative="0">
      <w:start w:val="2"/>
      <w:numFmt w:val="chineseCounting"/>
      <w:suff w:val="space"/>
      <w:lvlText w:val="第%1条"/>
      <w:lvlJc w:val="left"/>
      <w:rPr>
        <w:rFonts w:hint="eastAsia"/>
      </w:rPr>
    </w:lvl>
  </w:abstractNum>
  <w:abstractNum w:abstractNumId="1">
    <w:nsid w:val="30E4CA14"/>
    <w:multiLevelType w:val="singleLevel"/>
    <w:tmpl w:val="30E4CA14"/>
    <w:lvl w:ilvl="0" w:tentative="0">
      <w:start w:val="2"/>
      <w:numFmt w:val="chineseCounting"/>
      <w:suff w:val="space"/>
      <w:lvlText w:val="第%1条"/>
      <w:lvlJc w:val="left"/>
      <w:rPr>
        <w:rFonts w:hint="eastAsia"/>
      </w:rPr>
    </w:lvl>
  </w:abstractNum>
  <w:abstractNum w:abstractNumId="2">
    <w:nsid w:val="472B26F6"/>
    <w:multiLevelType w:val="singleLevel"/>
    <w:tmpl w:val="472B26F6"/>
    <w:lvl w:ilvl="0" w:tentative="0">
      <w:start w:val="6"/>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3F46"/>
    <w:rsid w:val="00B57B36"/>
    <w:rsid w:val="00CA7DD3"/>
    <w:rsid w:val="01815F85"/>
    <w:rsid w:val="02886B37"/>
    <w:rsid w:val="02FB5272"/>
    <w:rsid w:val="034F484F"/>
    <w:rsid w:val="035A75BB"/>
    <w:rsid w:val="037E1F80"/>
    <w:rsid w:val="03D72BA2"/>
    <w:rsid w:val="05864354"/>
    <w:rsid w:val="05CF65E1"/>
    <w:rsid w:val="06304663"/>
    <w:rsid w:val="0654426F"/>
    <w:rsid w:val="06BB7496"/>
    <w:rsid w:val="06DB7412"/>
    <w:rsid w:val="072126BE"/>
    <w:rsid w:val="072837E8"/>
    <w:rsid w:val="0730075A"/>
    <w:rsid w:val="078758E5"/>
    <w:rsid w:val="07ED0B0D"/>
    <w:rsid w:val="087E7014"/>
    <w:rsid w:val="08B96F5C"/>
    <w:rsid w:val="095A6680"/>
    <w:rsid w:val="099C718D"/>
    <w:rsid w:val="0AF2013A"/>
    <w:rsid w:val="0BD16C8D"/>
    <w:rsid w:val="0C082ECB"/>
    <w:rsid w:val="0C10414F"/>
    <w:rsid w:val="0CAC0156"/>
    <w:rsid w:val="0DE820DC"/>
    <w:rsid w:val="0E2621DE"/>
    <w:rsid w:val="0E4F3F1C"/>
    <w:rsid w:val="10B75E3C"/>
    <w:rsid w:val="117F6440"/>
    <w:rsid w:val="1204308C"/>
    <w:rsid w:val="124B488F"/>
    <w:rsid w:val="12C15B53"/>
    <w:rsid w:val="13335D9C"/>
    <w:rsid w:val="13DB6F21"/>
    <w:rsid w:val="141015CD"/>
    <w:rsid w:val="14494355"/>
    <w:rsid w:val="14B0757C"/>
    <w:rsid w:val="15653784"/>
    <w:rsid w:val="16576633"/>
    <w:rsid w:val="17D62327"/>
    <w:rsid w:val="183C554F"/>
    <w:rsid w:val="198E3B29"/>
    <w:rsid w:val="199E2224"/>
    <w:rsid w:val="19D51DED"/>
    <w:rsid w:val="1A4E6959"/>
    <w:rsid w:val="1A7A68AF"/>
    <w:rsid w:val="1C527C03"/>
    <w:rsid w:val="1D364F15"/>
    <w:rsid w:val="1D5F0C59"/>
    <w:rsid w:val="1D655C57"/>
    <w:rsid w:val="1D756A60"/>
    <w:rsid w:val="1DD94587"/>
    <w:rsid w:val="1E414EAF"/>
    <w:rsid w:val="1E4D16C6"/>
    <w:rsid w:val="1E643F17"/>
    <w:rsid w:val="1E727190"/>
    <w:rsid w:val="1EA700D7"/>
    <w:rsid w:val="1EFD2393"/>
    <w:rsid w:val="1F0E32FE"/>
    <w:rsid w:val="1FDA174E"/>
    <w:rsid w:val="20502A11"/>
    <w:rsid w:val="20A4168D"/>
    <w:rsid w:val="20BB4A23"/>
    <w:rsid w:val="210324B5"/>
    <w:rsid w:val="216E68BD"/>
    <w:rsid w:val="21BC53AF"/>
    <w:rsid w:val="229C164D"/>
    <w:rsid w:val="229C6AEA"/>
    <w:rsid w:val="22B563A2"/>
    <w:rsid w:val="230044F9"/>
    <w:rsid w:val="23005142"/>
    <w:rsid w:val="2364787B"/>
    <w:rsid w:val="23667720"/>
    <w:rsid w:val="24B3717E"/>
    <w:rsid w:val="256571E6"/>
    <w:rsid w:val="25DB7E88"/>
    <w:rsid w:val="264A6F52"/>
    <w:rsid w:val="2704340F"/>
    <w:rsid w:val="28034C59"/>
    <w:rsid w:val="296960FC"/>
    <w:rsid w:val="2B6A6B46"/>
    <w:rsid w:val="2C364F95"/>
    <w:rsid w:val="2E2A66CA"/>
    <w:rsid w:val="2E3C5442"/>
    <w:rsid w:val="2E9118F2"/>
    <w:rsid w:val="2EB30BAD"/>
    <w:rsid w:val="2EF74B19"/>
    <w:rsid w:val="2F1C0726"/>
    <w:rsid w:val="2FC32F68"/>
    <w:rsid w:val="300E33E8"/>
    <w:rsid w:val="30296190"/>
    <w:rsid w:val="30B40991"/>
    <w:rsid w:val="30F545DF"/>
    <w:rsid w:val="31A4447F"/>
    <w:rsid w:val="322F0E63"/>
    <w:rsid w:val="32BC1812"/>
    <w:rsid w:val="32E35BEE"/>
    <w:rsid w:val="333B009C"/>
    <w:rsid w:val="342A71FD"/>
    <w:rsid w:val="344529CD"/>
    <w:rsid w:val="34814E5E"/>
    <w:rsid w:val="34961252"/>
    <w:rsid w:val="34FC447A"/>
    <w:rsid w:val="356276A1"/>
    <w:rsid w:val="35C828C9"/>
    <w:rsid w:val="361E4ECF"/>
    <w:rsid w:val="362E5AF0"/>
    <w:rsid w:val="3660752C"/>
    <w:rsid w:val="36751D82"/>
    <w:rsid w:val="37D6042A"/>
    <w:rsid w:val="38E33307"/>
    <w:rsid w:val="3907358F"/>
    <w:rsid w:val="3A216CEA"/>
    <w:rsid w:val="3B530361"/>
    <w:rsid w:val="3B7E3B9C"/>
    <w:rsid w:val="3BB93588"/>
    <w:rsid w:val="3C1F67B0"/>
    <w:rsid w:val="3C8619D8"/>
    <w:rsid w:val="3CEC4BFF"/>
    <w:rsid w:val="3D037153"/>
    <w:rsid w:val="3D3368CF"/>
    <w:rsid w:val="3E22125F"/>
    <w:rsid w:val="3EF44FD4"/>
    <w:rsid w:val="3F0A3640"/>
    <w:rsid w:val="3FE51083"/>
    <w:rsid w:val="4026664B"/>
    <w:rsid w:val="40271B91"/>
    <w:rsid w:val="40832ED9"/>
    <w:rsid w:val="408C1872"/>
    <w:rsid w:val="40C05B45"/>
    <w:rsid w:val="40F24A9A"/>
    <w:rsid w:val="41013F36"/>
    <w:rsid w:val="41BF2EE9"/>
    <w:rsid w:val="425C1690"/>
    <w:rsid w:val="430125FC"/>
    <w:rsid w:val="43276E48"/>
    <w:rsid w:val="43AA52E0"/>
    <w:rsid w:val="43D8123C"/>
    <w:rsid w:val="454B0EBC"/>
    <w:rsid w:val="45894F00"/>
    <w:rsid w:val="45A325A5"/>
    <w:rsid w:val="4617730B"/>
    <w:rsid w:val="46644A35"/>
    <w:rsid w:val="46E4575A"/>
    <w:rsid w:val="474A0981"/>
    <w:rsid w:val="48A4639D"/>
    <w:rsid w:val="48A60127"/>
    <w:rsid w:val="48DF209C"/>
    <w:rsid w:val="4912529C"/>
    <w:rsid w:val="49480447"/>
    <w:rsid w:val="497C7C92"/>
    <w:rsid w:val="4A326368"/>
    <w:rsid w:val="4B591900"/>
    <w:rsid w:val="4BD527AB"/>
    <w:rsid w:val="4C132A57"/>
    <w:rsid w:val="4C2C4D07"/>
    <w:rsid w:val="4C831E93"/>
    <w:rsid w:val="4CA3048F"/>
    <w:rsid w:val="4D4F02E2"/>
    <w:rsid w:val="4DB53509"/>
    <w:rsid w:val="4E1B6731"/>
    <w:rsid w:val="4E265C87"/>
    <w:rsid w:val="4E686795"/>
    <w:rsid w:val="4E6D7FF7"/>
    <w:rsid w:val="4E782796"/>
    <w:rsid w:val="4FDE2957"/>
    <w:rsid w:val="4FF83337"/>
    <w:rsid w:val="50267DA3"/>
    <w:rsid w:val="5058366F"/>
    <w:rsid w:val="5059420E"/>
    <w:rsid w:val="509074BA"/>
    <w:rsid w:val="509D34FA"/>
    <w:rsid w:val="50F03755"/>
    <w:rsid w:val="513A40D0"/>
    <w:rsid w:val="51A84704"/>
    <w:rsid w:val="520E792B"/>
    <w:rsid w:val="52742B53"/>
    <w:rsid w:val="52DA5D7A"/>
    <w:rsid w:val="52EB47AC"/>
    <w:rsid w:val="53400FA2"/>
    <w:rsid w:val="540C73F1"/>
    <w:rsid w:val="54722618"/>
    <w:rsid w:val="54E212ED"/>
    <w:rsid w:val="55380FE5"/>
    <w:rsid w:val="553F675A"/>
    <w:rsid w:val="55884D97"/>
    <w:rsid w:val="559F31E2"/>
    <w:rsid w:val="56495B94"/>
    <w:rsid w:val="5813728B"/>
    <w:rsid w:val="587924B3"/>
    <w:rsid w:val="58DF56DB"/>
    <w:rsid w:val="5A312D8C"/>
    <w:rsid w:val="5A344EA3"/>
    <w:rsid w:val="5A405C9C"/>
    <w:rsid w:val="5AC03E2B"/>
    <w:rsid w:val="5C66288B"/>
    <w:rsid w:val="5CA83399"/>
    <w:rsid w:val="5CCA2340"/>
    <w:rsid w:val="5D381AFC"/>
    <w:rsid w:val="5D9909AD"/>
    <w:rsid w:val="5D9E4D24"/>
    <w:rsid w:val="5DDC23E1"/>
    <w:rsid w:val="5E047F4B"/>
    <w:rsid w:val="5E9447C2"/>
    <w:rsid w:val="5EC6572D"/>
    <w:rsid w:val="5EF71D5A"/>
    <w:rsid w:val="5F1F39A6"/>
    <w:rsid w:val="5F3715C2"/>
    <w:rsid w:val="5F6662FF"/>
    <w:rsid w:val="5FD7193E"/>
    <w:rsid w:val="60692C39"/>
    <w:rsid w:val="610F0880"/>
    <w:rsid w:val="61287234"/>
    <w:rsid w:val="6134537A"/>
    <w:rsid w:val="6151138E"/>
    <w:rsid w:val="61631B18"/>
    <w:rsid w:val="61B54EAA"/>
    <w:rsid w:val="621A0401"/>
    <w:rsid w:val="624D40D3"/>
    <w:rsid w:val="633D145D"/>
    <w:rsid w:val="63860E8D"/>
    <w:rsid w:val="638C710B"/>
    <w:rsid w:val="63A34684"/>
    <w:rsid w:val="640A78AC"/>
    <w:rsid w:val="64500020"/>
    <w:rsid w:val="646F5052"/>
    <w:rsid w:val="64702AD3"/>
    <w:rsid w:val="649938A7"/>
    <w:rsid w:val="653C0F22"/>
    <w:rsid w:val="65A2414A"/>
    <w:rsid w:val="65FB7383"/>
    <w:rsid w:val="66087371"/>
    <w:rsid w:val="663B5DB1"/>
    <w:rsid w:val="667E0635"/>
    <w:rsid w:val="671B3E71"/>
    <w:rsid w:val="6796587F"/>
    <w:rsid w:val="67E76DDF"/>
    <w:rsid w:val="680F4045"/>
    <w:rsid w:val="681C58F0"/>
    <w:rsid w:val="68623CCE"/>
    <w:rsid w:val="68727990"/>
    <w:rsid w:val="68B725B5"/>
    <w:rsid w:val="6903741D"/>
    <w:rsid w:val="692C2B01"/>
    <w:rsid w:val="69955344"/>
    <w:rsid w:val="69FB056C"/>
    <w:rsid w:val="6A1F5D27"/>
    <w:rsid w:val="6ABC2ECE"/>
    <w:rsid w:val="6AC56C79"/>
    <w:rsid w:val="6B435028"/>
    <w:rsid w:val="6B8F7255"/>
    <w:rsid w:val="6C3D3038"/>
    <w:rsid w:val="6C47304D"/>
    <w:rsid w:val="6CD7419C"/>
    <w:rsid w:val="6D1D4911"/>
    <w:rsid w:val="6ECE6856"/>
    <w:rsid w:val="6F341A7D"/>
    <w:rsid w:val="6F9A4CA5"/>
    <w:rsid w:val="6FE74DA4"/>
    <w:rsid w:val="6FF27FD1"/>
    <w:rsid w:val="7054132D"/>
    <w:rsid w:val="706630F4"/>
    <w:rsid w:val="70666265"/>
    <w:rsid w:val="70DC2CB0"/>
    <w:rsid w:val="70DC43B7"/>
    <w:rsid w:val="7209659F"/>
    <w:rsid w:val="7262054C"/>
    <w:rsid w:val="74CC77F2"/>
    <w:rsid w:val="758B5965"/>
    <w:rsid w:val="76573DB4"/>
    <w:rsid w:val="768161C6"/>
    <w:rsid w:val="76AC0242"/>
    <w:rsid w:val="77232203"/>
    <w:rsid w:val="780E632E"/>
    <w:rsid w:val="79294BA1"/>
    <w:rsid w:val="793E1908"/>
    <w:rsid w:val="79523D14"/>
    <w:rsid w:val="79684957"/>
    <w:rsid w:val="7A096743"/>
    <w:rsid w:val="7AC46E76"/>
    <w:rsid w:val="7B2A209D"/>
    <w:rsid w:val="7B311A28"/>
    <w:rsid w:val="7BE0677D"/>
    <w:rsid w:val="7BEB475A"/>
    <w:rsid w:val="7BF604ED"/>
    <w:rsid w:val="7C9C17B1"/>
    <w:rsid w:val="7CCE05F7"/>
    <w:rsid w:val="7D2346E8"/>
    <w:rsid w:val="7DCB0BE8"/>
    <w:rsid w:val="7E05604E"/>
    <w:rsid w:val="7E9F29C9"/>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6493</Words>
  <Characters>6558</Characters>
  <Lines>0</Lines>
  <Paragraphs>0</Paragraphs>
  <TotalTime>8</TotalTime>
  <ScaleCrop>false</ScaleCrop>
  <LinksUpToDate>false</LinksUpToDate>
  <CharactersWithSpaces>6636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2025-02-21T01:21:00Z</dcterms:created>
  <dc:creator>守望者1380165236</dc:creator>
  <cp:lastModifiedBy>守望者1380165236</cp:lastModifiedBy>
  <cp:lastPrinted>2025-03-04T00:53:00Z</cp:lastPrinted>
  <dcterms:modified xsi:type="dcterms:W3CDTF">2025-03-04T08:31:14Z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F9FB7E047FEC47D082E25EAB5A390FD8_13</vt:lpwstr>
  </property>
  <property fmtid="{D5CDD505-2E9C-101B-9397-08002B2CF9AE}" pid="4" name="KSOTemplateDocerSaveRecord">
    <vt:lpwstr>eyJoZGlkIjoiMmFhMWFiMGI1NWFhNTg2NzA0ZWVkYzE5OTZjNzg4OTIiLCJ1c2VySWQiOiI1MjUxMDI0In0=</vt:lpwstr>
  </property>
</Properties>
</file>